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1" w:rsidRDefault="008B6E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B6EC1" w:rsidRDefault="008B6EC1">
      <w:pPr>
        <w:jc w:val="center"/>
        <w:rPr>
          <w:b/>
          <w:sz w:val="28"/>
          <w:szCs w:val="28"/>
        </w:rPr>
      </w:pPr>
    </w:p>
    <w:p w:rsidR="008B6EC1" w:rsidRDefault="008B6EC1">
      <w:pPr>
        <w:jc w:val="center"/>
        <w:rPr>
          <w:b/>
          <w:sz w:val="28"/>
          <w:szCs w:val="28"/>
        </w:rPr>
      </w:pPr>
    </w:p>
    <w:p w:rsidR="008B6EC1" w:rsidRDefault="008B6EC1">
      <w:pPr>
        <w:jc w:val="center"/>
        <w:rPr>
          <w:b/>
          <w:sz w:val="28"/>
          <w:szCs w:val="28"/>
        </w:rPr>
      </w:pPr>
    </w:p>
    <w:p w:rsidR="008B6EC1" w:rsidRDefault="008B6EC1">
      <w:pPr>
        <w:jc w:val="center"/>
        <w:rPr>
          <w:b/>
          <w:sz w:val="28"/>
          <w:szCs w:val="28"/>
        </w:rPr>
      </w:pPr>
    </w:p>
    <w:p w:rsidR="008B6EC1" w:rsidRDefault="008B6EC1">
      <w:pPr>
        <w:jc w:val="center"/>
        <w:rPr>
          <w:b/>
          <w:sz w:val="28"/>
          <w:szCs w:val="28"/>
        </w:rPr>
      </w:pPr>
    </w:p>
    <w:p w:rsidR="008B6EC1" w:rsidRDefault="008B6EC1">
      <w:pPr>
        <w:jc w:val="center"/>
        <w:rPr>
          <w:b/>
          <w:sz w:val="28"/>
          <w:szCs w:val="28"/>
        </w:rPr>
      </w:pPr>
    </w:p>
    <w:p w:rsidR="008B6EC1" w:rsidRDefault="008B6EC1">
      <w:pPr>
        <w:jc w:val="center"/>
        <w:rPr>
          <w:b/>
          <w:sz w:val="28"/>
          <w:szCs w:val="28"/>
        </w:rPr>
      </w:pPr>
    </w:p>
    <w:p w:rsidR="008B6EC1" w:rsidRDefault="008B6EC1">
      <w:pPr>
        <w:rPr>
          <w:b/>
          <w:sz w:val="28"/>
          <w:szCs w:val="28"/>
        </w:rPr>
      </w:pPr>
    </w:p>
    <w:p w:rsidR="008B6EC1" w:rsidRDefault="008B6EC1">
      <w:pPr>
        <w:rPr>
          <w:b/>
          <w:sz w:val="28"/>
          <w:szCs w:val="28"/>
        </w:rPr>
      </w:pPr>
    </w:p>
    <w:p w:rsidR="008B6EC1" w:rsidRDefault="008B6EC1">
      <w:pPr>
        <w:rPr>
          <w:b/>
          <w:sz w:val="28"/>
          <w:szCs w:val="28"/>
        </w:rPr>
      </w:pPr>
    </w:p>
    <w:p w:rsidR="008B6EC1" w:rsidRDefault="008B6EC1">
      <w:pPr>
        <w:rPr>
          <w:b/>
          <w:sz w:val="28"/>
          <w:szCs w:val="28"/>
        </w:rPr>
      </w:pPr>
    </w:p>
    <w:p w:rsidR="008B6EC1" w:rsidRDefault="008B6EC1">
      <w:pPr>
        <w:jc w:val="center"/>
        <w:rPr>
          <w:b/>
          <w:sz w:val="28"/>
          <w:szCs w:val="28"/>
        </w:rPr>
      </w:pPr>
    </w:p>
    <w:p w:rsidR="008B6EC1" w:rsidRDefault="008B6EC1">
      <w:pPr>
        <w:jc w:val="center"/>
        <w:rPr>
          <w:b/>
          <w:sz w:val="28"/>
          <w:szCs w:val="28"/>
        </w:rPr>
      </w:pPr>
    </w:p>
    <w:p w:rsidR="008B6EC1" w:rsidRDefault="008B6EC1">
      <w:pPr>
        <w:jc w:val="center"/>
        <w:rPr>
          <w:b/>
          <w:sz w:val="28"/>
          <w:szCs w:val="28"/>
        </w:rPr>
      </w:pPr>
    </w:p>
    <w:p w:rsidR="008B6EC1" w:rsidRDefault="008E77C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индексации размера платы за пользование жилым помещением (платы за наем) для нанимателей жилых помещений по договорам социального найма жилых помещений и договорам найма жилых помещений муниципального или государственного жилищного фонда</w:t>
      </w:r>
    </w:p>
    <w:p w:rsidR="008B6EC1" w:rsidRDefault="008B6EC1">
      <w:pPr>
        <w:jc w:val="both"/>
        <w:rPr>
          <w:sz w:val="28"/>
          <w:szCs w:val="28"/>
          <w:highlight w:val="yellow"/>
        </w:rPr>
      </w:pPr>
    </w:p>
    <w:p w:rsidR="008B6EC1" w:rsidRDefault="008B6EC1">
      <w:pPr>
        <w:jc w:val="both"/>
        <w:rPr>
          <w:sz w:val="28"/>
          <w:szCs w:val="28"/>
          <w:highlight w:val="yellow"/>
        </w:rPr>
      </w:pPr>
    </w:p>
    <w:p w:rsidR="008B6EC1" w:rsidRDefault="008E77C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частями 3, 4 и 5 статьи 156 Жилищного кодекса Российской Федерации,</w:t>
      </w:r>
      <w:r>
        <w:rPr>
          <w:b w:val="0"/>
        </w:rPr>
        <w:t xml:space="preserve"> </w:t>
      </w:r>
      <w:r>
        <w:rPr>
          <w:b w:val="0"/>
          <w:sz w:val="28"/>
          <w:szCs w:val="28"/>
        </w:rPr>
        <w:t>Постановлением Правительства Российской Федерации от 12.12.2014 № 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 Приказом Минстроя России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466353">
        <w:rPr>
          <w:b w:val="0"/>
          <w:sz w:val="28"/>
          <w:szCs w:val="28"/>
        </w:rPr>
        <w:t xml:space="preserve">»,  пунктом 10 части 10 статьи </w:t>
      </w:r>
      <w:r>
        <w:rPr>
          <w:b w:val="0"/>
          <w:sz w:val="28"/>
          <w:szCs w:val="28"/>
        </w:rPr>
        <w:t>45 Устава муниципального образования «Город Димитровград» Ульяновской области п о с т а н о в л я ю:</w:t>
      </w:r>
    </w:p>
    <w:p w:rsidR="008B6EC1" w:rsidRDefault="008E7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Произвести индексацию размера платы за пользование жилым помещением (платы за наем) для нанимателей жилых помещений по договорам социального найма жилых помещений и договорам найма жилых помещений муниципального или государственного жилищного фонда путем применения повышающего коэффициента 1,</w:t>
      </w:r>
      <w:r w:rsidR="0063102B">
        <w:rPr>
          <w:sz w:val="28"/>
          <w:szCs w:val="28"/>
        </w:rPr>
        <w:t>0746</w:t>
      </w:r>
      <w:r>
        <w:rPr>
          <w:sz w:val="28"/>
          <w:szCs w:val="28"/>
        </w:rPr>
        <w:t xml:space="preserve"> к размеру арендной платы с 01.09.202</w:t>
      </w:r>
      <w:r w:rsidR="0063102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B6EC1" w:rsidRDefault="008E7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постановление Администрации города от 17.03.2022 № 653 «Об установлении размера платы за пользование жилым помещением (платы за наем) для нанимателей жилых помещений по договорам социального найма жилых помещений и договорам найма жилых помещений муниципального или государственного жилищного фонда»</w:t>
      </w:r>
      <w:r w:rsidR="003D13ED">
        <w:rPr>
          <w:sz w:val="28"/>
          <w:szCs w:val="28"/>
        </w:rPr>
        <w:t xml:space="preserve"> </w:t>
      </w:r>
      <w:r w:rsidR="00B47C34">
        <w:rPr>
          <w:sz w:val="28"/>
          <w:szCs w:val="28"/>
        </w:rPr>
        <w:t>(далее – постановление)</w:t>
      </w:r>
      <w:r w:rsidR="009908FE">
        <w:rPr>
          <w:sz w:val="28"/>
          <w:szCs w:val="28"/>
        </w:rPr>
        <w:t xml:space="preserve"> следующ</w:t>
      </w:r>
      <w:r w:rsidR="003D13ED">
        <w:rPr>
          <w:sz w:val="28"/>
          <w:szCs w:val="28"/>
        </w:rPr>
        <w:t>ее изменение</w:t>
      </w:r>
      <w:r w:rsidR="009908FE">
        <w:rPr>
          <w:sz w:val="28"/>
          <w:szCs w:val="28"/>
        </w:rPr>
        <w:t>:</w:t>
      </w:r>
    </w:p>
    <w:p w:rsidR="008B6EC1" w:rsidRDefault="008E7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 изложить в следующей редакции:</w:t>
      </w:r>
    </w:p>
    <w:p w:rsidR="008B6EC1" w:rsidRDefault="008B6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6EC1" w:rsidRDefault="008E77C2">
      <w:pPr>
        <w:pStyle w:val="ConsPlusNormal"/>
        <w:ind w:left="6663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№ 2</w:t>
      </w:r>
    </w:p>
    <w:p w:rsidR="008B6EC1" w:rsidRDefault="008B6EC1">
      <w:pPr>
        <w:pStyle w:val="ConsPlusNormal"/>
        <w:jc w:val="right"/>
        <w:rPr>
          <w:sz w:val="28"/>
          <w:szCs w:val="28"/>
        </w:rPr>
      </w:pPr>
    </w:p>
    <w:p w:rsidR="008B6EC1" w:rsidRDefault="008E77C2">
      <w:pPr>
        <w:pStyle w:val="ConsPlusNormal"/>
        <w:ind w:firstLine="666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B6EC1" w:rsidRDefault="008E77C2">
      <w:pPr>
        <w:pStyle w:val="ConsPlusNormal"/>
        <w:ind w:firstLine="6663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B6EC1" w:rsidRDefault="008E77C2">
      <w:pPr>
        <w:pStyle w:val="ConsPlusNormal"/>
        <w:ind w:firstLine="6663"/>
        <w:rPr>
          <w:sz w:val="28"/>
          <w:szCs w:val="28"/>
        </w:rPr>
      </w:pPr>
      <w:r>
        <w:rPr>
          <w:sz w:val="28"/>
          <w:szCs w:val="28"/>
        </w:rPr>
        <w:t xml:space="preserve">от 17.03.2022 № 653       </w:t>
      </w:r>
    </w:p>
    <w:p w:rsidR="008B6EC1" w:rsidRDefault="008B6EC1">
      <w:pPr>
        <w:pStyle w:val="ConsPlusNormal"/>
        <w:jc w:val="both"/>
        <w:rPr>
          <w:sz w:val="28"/>
          <w:szCs w:val="28"/>
        </w:rPr>
      </w:pPr>
    </w:p>
    <w:p w:rsidR="008B6EC1" w:rsidRDefault="008E77C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жилых помещений и договорам найма жилых помещений муниципального или государственного жилищного фонда города Димитровграда Ульяновской области</w:t>
      </w:r>
    </w:p>
    <w:p w:rsidR="008B6EC1" w:rsidRDefault="008E77C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пользование 1 кв. м общей площади жилого помещения (платы за наем) для нанимателей жилых помещений по договорам социального найма жилых помещений и договорам найма жилых помещений муниципального или государственного жилищного фонда города Димитровграда Ульяновской области, расположенных на территории Западного района города Димитровграда Ульяновской области </w:t>
      </w:r>
      <w:hyperlink w:anchor="P201" w:history="1">
        <w:r>
          <w:rPr>
            <w:color w:val="0000FF"/>
            <w:sz w:val="28"/>
            <w:szCs w:val="28"/>
          </w:rPr>
          <w:t>&lt;*&gt;</w:t>
        </w:r>
      </w:hyperlink>
    </w:p>
    <w:p w:rsidR="008B6EC1" w:rsidRDefault="008B6EC1">
      <w:pPr>
        <w:pStyle w:val="ConsPlusNormal"/>
        <w:jc w:val="center"/>
        <w:outlineLvl w:val="1"/>
        <w:rPr>
          <w:sz w:val="28"/>
          <w:szCs w:val="28"/>
        </w:rPr>
      </w:pPr>
    </w:p>
    <w:p w:rsidR="008B6EC1" w:rsidRDefault="008B6EC1">
      <w:pPr>
        <w:pStyle w:val="ConsPlusNormal"/>
        <w:jc w:val="center"/>
        <w:outlineLvl w:val="1"/>
        <w:rPr>
          <w:sz w:val="28"/>
          <w:szCs w:val="28"/>
        </w:rPr>
      </w:pPr>
    </w:p>
    <w:tbl>
      <w:tblPr>
        <w:tblW w:w="939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544"/>
        <w:gridCol w:w="1506"/>
        <w:gridCol w:w="2126"/>
        <w:gridCol w:w="1641"/>
      </w:tblGrid>
      <w:tr w:rsidR="008B6EC1">
        <w:trPr>
          <w:trHeight w:val="620"/>
        </w:trPr>
        <w:tc>
          <w:tcPr>
            <w:tcW w:w="580" w:type="dxa"/>
            <w:vMerge w:val="restart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благоустройства</w:t>
            </w:r>
          </w:p>
        </w:tc>
        <w:tc>
          <w:tcPr>
            <w:tcW w:w="5273" w:type="dxa"/>
            <w:gridSpan w:val="3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платы за наем (рублей за 1 кв. м общей площади жилого помещения в месяц)</w:t>
            </w:r>
          </w:p>
        </w:tc>
      </w:tr>
      <w:tr w:rsidR="008B6EC1">
        <w:trPr>
          <w:trHeight w:val="735"/>
        </w:trPr>
        <w:tc>
          <w:tcPr>
            <w:tcW w:w="580" w:type="dxa"/>
            <w:vMerge/>
            <w:vAlign w:val="center"/>
          </w:tcPr>
          <w:p w:rsidR="008B6EC1" w:rsidRDefault="008B6E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B6EC1" w:rsidRDefault="008B6E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Кирпичные дома</w:t>
            </w:r>
          </w:p>
        </w:tc>
        <w:tc>
          <w:tcPr>
            <w:tcW w:w="2126" w:type="dxa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Крупнопанельные или панельные дома</w:t>
            </w:r>
          </w:p>
        </w:tc>
        <w:tc>
          <w:tcPr>
            <w:tcW w:w="1641" w:type="dxa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Деревянные и прочие</w:t>
            </w:r>
          </w:p>
        </w:tc>
      </w:tr>
      <w:tr w:rsidR="0063102B">
        <w:trPr>
          <w:trHeight w:val="1265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 повышенной комфортности (имеющие все виды удобств, а также лифт и (или) мусоропровод)</w:t>
            </w:r>
          </w:p>
        </w:tc>
        <w:tc>
          <w:tcPr>
            <w:tcW w:w="1506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14,36</w:t>
            </w:r>
          </w:p>
        </w:tc>
        <w:tc>
          <w:tcPr>
            <w:tcW w:w="2126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641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13,43</w:t>
            </w:r>
          </w:p>
        </w:tc>
      </w:tr>
      <w:tr w:rsidR="0063102B">
        <w:trPr>
          <w:trHeight w:val="1866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домах, имеющих все виды удобств (водопровод, канализация, ванна, ГВС или водонагревательный прибор либо титан или газовый проточный водонагреватель)</w:t>
            </w:r>
          </w:p>
        </w:tc>
        <w:tc>
          <w:tcPr>
            <w:tcW w:w="1506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2126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641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12,97</w:t>
            </w:r>
          </w:p>
        </w:tc>
      </w:tr>
      <w:tr w:rsidR="0063102B">
        <w:trPr>
          <w:trHeight w:val="774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 с частичными удобствами (без ванной и (или) ГВС при отсутствии водонагревательных приборов)</w:t>
            </w:r>
          </w:p>
        </w:tc>
        <w:tc>
          <w:tcPr>
            <w:tcW w:w="1506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2126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1641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12,50</w:t>
            </w:r>
          </w:p>
        </w:tc>
      </w:tr>
      <w:tr w:rsidR="0063102B">
        <w:trPr>
          <w:trHeight w:val="794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 без коммунальных удобств (уличная колонка и (или) водопровод без канализации)</w:t>
            </w:r>
          </w:p>
        </w:tc>
        <w:tc>
          <w:tcPr>
            <w:tcW w:w="1506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2126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641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12,04</w:t>
            </w:r>
          </w:p>
        </w:tc>
      </w:tr>
    </w:tbl>
    <w:p w:rsidR="008B6EC1" w:rsidRDefault="008B6EC1">
      <w:pPr>
        <w:pStyle w:val="ConsPlusNormal"/>
        <w:jc w:val="both"/>
        <w:rPr>
          <w:sz w:val="28"/>
          <w:szCs w:val="28"/>
        </w:rPr>
      </w:pPr>
    </w:p>
    <w:p w:rsidR="008B6EC1" w:rsidRDefault="008E77C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платы за пользование 1 кв. м общей площади жилого помещения (платы за наем) для нанимателей жилых помещений по договорам социального найма жилых помещений и договорам найма жилых помещений муниципального или государственного жилищного фонда города Димитровграда Ульяновской области, расположенных на территории Первомайского района города Димитровграда Ульяновской области </w:t>
      </w:r>
      <w:hyperlink w:anchor="P201" w:history="1">
        <w:r>
          <w:rPr>
            <w:color w:val="0000FF"/>
            <w:sz w:val="28"/>
            <w:szCs w:val="28"/>
          </w:rPr>
          <w:t>&lt;*&gt;</w:t>
        </w:r>
      </w:hyperlink>
    </w:p>
    <w:p w:rsidR="008B6EC1" w:rsidRDefault="008B6EC1">
      <w:pPr>
        <w:pStyle w:val="ConsPlusNormal"/>
        <w:jc w:val="center"/>
        <w:outlineLvl w:val="1"/>
        <w:rPr>
          <w:sz w:val="28"/>
          <w:szCs w:val="28"/>
        </w:rPr>
      </w:pPr>
    </w:p>
    <w:p w:rsidR="008B6EC1" w:rsidRDefault="008B6EC1">
      <w:pPr>
        <w:pStyle w:val="ConsPlusNormal"/>
        <w:jc w:val="center"/>
        <w:outlineLvl w:val="1"/>
        <w:rPr>
          <w:sz w:val="28"/>
          <w:szCs w:val="28"/>
        </w:rPr>
      </w:pPr>
    </w:p>
    <w:tbl>
      <w:tblPr>
        <w:tblW w:w="955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544"/>
        <w:gridCol w:w="1749"/>
        <w:gridCol w:w="2110"/>
        <w:gridCol w:w="1575"/>
      </w:tblGrid>
      <w:tr w:rsidR="008B6EC1">
        <w:trPr>
          <w:trHeight w:val="446"/>
        </w:trPr>
        <w:tc>
          <w:tcPr>
            <w:tcW w:w="580" w:type="dxa"/>
            <w:vMerge w:val="restart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благоустройства</w:t>
            </w:r>
          </w:p>
        </w:tc>
        <w:tc>
          <w:tcPr>
            <w:tcW w:w="5434" w:type="dxa"/>
            <w:gridSpan w:val="3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платы за наем (рублей за 1 кв. м общей площади жилого помещения в месяц)</w:t>
            </w:r>
          </w:p>
        </w:tc>
      </w:tr>
      <w:tr w:rsidR="008B6EC1">
        <w:trPr>
          <w:trHeight w:val="1515"/>
        </w:trPr>
        <w:tc>
          <w:tcPr>
            <w:tcW w:w="580" w:type="dxa"/>
            <w:vMerge/>
            <w:vAlign w:val="center"/>
          </w:tcPr>
          <w:p w:rsidR="008B6EC1" w:rsidRDefault="008B6E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B6EC1" w:rsidRDefault="008B6E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Кирпичные дома</w:t>
            </w:r>
          </w:p>
        </w:tc>
        <w:tc>
          <w:tcPr>
            <w:tcW w:w="2110" w:type="dxa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Крупнопанельные или панельные дома</w:t>
            </w:r>
          </w:p>
        </w:tc>
        <w:tc>
          <w:tcPr>
            <w:tcW w:w="1575" w:type="dxa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Деревянные и прочие</w:t>
            </w:r>
          </w:p>
        </w:tc>
      </w:tr>
      <w:tr w:rsidR="0063102B">
        <w:trPr>
          <w:trHeight w:val="1327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 повышенной комфортности (имеющие все виды удобств, а также лифт и (или) мусоропровод)</w:t>
            </w:r>
          </w:p>
        </w:tc>
        <w:tc>
          <w:tcPr>
            <w:tcW w:w="1749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2110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1575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12,97</w:t>
            </w:r>
          </w:p>
        </w:tc>
      </w:tr>
      <w:tr w:rsidR="0063102B">
        <w:trPr>
          <w:trHeight w:val="1913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домах, имеющих все виды удобств (водопровод, канализация, ванна, ГВС или водонагревательный прибор либо титан или газовый проточный водонагреватель)</w:t>
            </w:r>
          </w:p>
        </w:tc>
        <w:tc>
          <w:tcPr>
            <w:tcW w:w="1749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2110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1575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12,50</w:t>
            </w:r>
          </w:p>
        </w:tc>
      </w:tr>
      <w:tr w:rsidR="0063102B">
        <w:trPr>
          <w:trHeight w:val="1233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 с частичными удобствами (без ванной и (или) ГВС при отсутствии водонагревательных приборов)</w:t>
            </w:r>
          </w:p>
        </w:tc>
        <w:tc>
          <w:tcPr>
            <w:tcW w:w="1749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2110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575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12,04</w:t>
            </w:r>
          </w:p>
        </w:tc>
      </w:tr>
      <w:tr w:rsidR="0063102B">
        <w:trPr>
          <w:trHeight w:val="1395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 без коммунальных удобств (уличная колонка и (или) водопровод без канализации)</w:t>
            </w:r>
          </w:p>
        </w:tc>
        <w:tc>
          <w:tcPr>
            <w:tcW w:w="1749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2110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1575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11,58</w:t>
            </w:r>
          </w:p>
        </w:tc>
      </w:tr>
    </w:tbl>
    <w:p w:rsidR="008B6EC1" w:rsidRDefault="008B6EC1">
      <w:pPr>
        <w:pStyle w:val="ConsPlusNormal"/>
        <w:jc w:val="center"/>
        <w:outlineLvl w:val="1"/>
        <w:rPr>
          <w:sz w:val="28"/>
          <w:szCs w:val="28"/>
        </w:rPr>
      </w:pPr>
    </w:p>
    <w:p w:rsidR="008B6EC1" w:rsidRDefault="008E77C2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пользование 1 кв. м общей площади жилого помещения (платы за наем) для нанимателей жилых помещений по договорам социального найма жилых помещений и договорам найма жилых помещений муниципального или государственного жилищного фонда города Димитровграда Ульяновской области, расположенных на территории Центрального района и пос. Дачный города Димитровграда Ульяновской области </w:t>
      </w:r>
      <w:hyperlink w:anchor="P201" w:history="1">
        <w:r>
          <w:rPr>
            <w:color w:val="0000FF"/>
            <w:sz w:val="28"/>
            <w:szCs w:val="28"/>
          </w:rPr>
          <w:t>&lt;*&gt;</w:t>
        </w:r>
      </w:hyperlink>
    </w:p>
    <w:p w:rsidR="008B6EC1" w:rsidRDefault="008B6EC1">
      <w:pPr>
        <w:pStyle w:val="ConsPlusNormal"/>
        <w:jc w:val="both"/>
        <w:rPr>
          <w:sz w:val="28"/>
          <w:szCs w:val="28"/>
        </w:rPr>
      </w:pPr>
    </w:p>
    <w:tbl>
      <w:tblPr>
        <w:tblW w:w="98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969"/>
        <w:gridCol w:w="1628"/>
        <w:gridCol w:w="2058"/>
        <w:gridCol w:w="1642"/>
      </w:tblGrid>
      <w:tr w:rsidR="008B6EC1" w:rsidTr="00EB07F7">
        <w:trPr>
          <w:trHeight w:val="536"/>
        </w:trPr>
        <w:tc>
          <w:tcPr>
            <w:tcW w:w="580" w:type="dxa"/>
            <w:vMerge w:val="restart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благоустройства</w:t>
            </w:r>
          </w:p>
        </w:tc>
        <w:tc>
          <w:tcPr>
            <w:tcW w:w="5328" w:type="dxa"/>
            <w:gridSpan w:val="3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платы за наем (рублей за 1 кв. м общей площади жилого помещения в месяц)</w:t>
            </w:r>
          </w:p>
        </w:tc>
      </w:tr>
      <w:tr w:rsidR="008B6EC1" w:rsidTr="00EB07F7">
        <w:trPr>
          <w:trHeight w:val="793"/>
        </w:trPr>
        <w:tc>
          <w:tcPr>
            <w:tcW w:w="580" w:type="dxa"/>
            <w:vMerge/>
            <w:vAlign w:val="center"/>
          </w:tcPr>
          <w:p w:rsidR="008B6EC1" w:rsidRDefault="008B6E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B6EC1" w:rsidRDefault="008B6E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Кирпичные дома</w:t>
            </w:r>
          </w:p>
        </w:tc>
        <w:tc>
          <w:tcPr>
            <w:tcW w:w="2058" w:type="dxa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Крупнопанельные или панельные дома</w:t>
            </w:r>
          </w:p>
        </w:tc>
        <w:tc>
          <w:tcPr>
            <w:tcW w:w="1642" w:type="dxa"/>
          </w:tcPr>
          <w:p w:rsidR="008B6EC1" w:rsidRDefault="008E7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Деревянные и прочие</w:t>
            </w:r>
          </w:p>
        </w:tc>
      </w:tr>
      <w:tr w:rsidR="0063102B" w:rsidTr="00EB07F7">
        <w:trPr>
          <w:trHeight w:val="1393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 повышенной комфортности (имеющие все виды удобств, а также лифт и (или) мусоропровод)</w:t>
            </w:r>
          </w:p>
        </w:tc>
        <w:tc>
          <w:tcPr>
            <w:tcW w:w="1628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2058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1642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12,50</w:t>
            </w:r>
          </w:p>
        </w:tc>
      </w:tr>
      <w:tr w:rsidR="0063102B" w:rsidTr="00EB07F7">
        <w:trPr>
          <w:trHeight w:val="1979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домах, имеющих все виды удобств (водопровод, канализация, ванна, ГВС или водонагревательный прибор либо титан или газовый проточный водонагреватель)</w:t>
            </w:r>
          </w:p>
        </w:tc>
        <w:tc>
          <w:tcPr>
            <w:tcW w:w="1628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2058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642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12,04</w:t>
            </w:r>
          </w:p>
        </w:tc>
      </w:tr>
      <w:tr w:rsidR="0063102B" w:rsidTr="00EB07F7">
        <w:trPr>
          <w:trHeight w:val="1413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 с частичными удобствами (без ванной и (или) ГВС при отсутствии водонагревательных приборов)</w:t>
            </w:r>
          </w:p>
        </w:tc>
        <w:tc>
          <w:tcPr>
            <w:tcW w:w="1628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2058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1642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11,58</w:t>
            </w:r>
          </w:p>
        </w:tc>
      </w:tr>
      <w:tr w:rsidR="0063102B" w:rsidTr="00EB07F7">
        <w:trPr>
          <w:trHeight w:val="1405"/>
        </w:trPr>
        <w:tc>
          <w:tcPr>
            <w:tcW w:w="580" w:type="dxa"/>
          </w:tcPr>
          <w:p w:rsid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3102B" w:rsidRDefault="006310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помещения, расположенные в домах без коммунальных удобств (уличная колонка и (или) водопровод без канализации)</w:t>
            </w:r>
          </w:p>
        </w:tc>
        <w:tc>
          <w:tcPr>
            <w:tcW w:w="1628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2058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642" w:type="dxa"/>
          </w:tcPr>
          <w:p w:rsidR="0063102B" w:rsidRPr="0063102B" w:rsidRDefault="0063102B">
            <w:pPr>
              <w:jc w:val="center"/>
              <w:rPr>
                <w:color w:val="000000"/>
                <w:sz w:val="24"/>
                <w:szCs w:val="24"/>
              </w:rPr>
            </w:pPr>
            <w:r w:rsidRPr="0063102B">
              <w:rPr>
                <w:color w:val="000000"/>
                <w:sz w:val="24"/>
                <w:szCs w:val="24"/>
              </w:rPr>
              <w:t>11,12</w:t>
            </w:r>
          </w:p>
        </w:tc>
      </w:tr>
    </w:tbl>
    <w:p w:rsidR="008B6EC1" w:rsidRPr="00EB07F7" w:rsidRDefault="008B6EC1">
      <w:pPr>
        <w:pStyle w:val="ConsPlusNormal"/>
        <w:jc w:val="both"/>
        <w:rPr>
          <w:szCs w:val="24"/>
        </w:rPr>
      </w:pPr>
    </w:p>
    <w:p w:rsidR="008B6EC1" w:rsidRDefault="008E77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8B6EC1" w:rsidRDefault="008E77C2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&lt;*&gt; Указанные значения могут быть скорректированы с учетом коэффициента соответствия платы при условии предоставления документов, удостоверяющих отнесение плательщика к л</w:t>
      </w:r>
      <w:r w:rsidR="007E05C8">
        <w:rPr>
          <w:sz w:val="28"/>
          <w:szCs w:val="28"/>
        </w:rPr>
        <w:t>ьготной категории плательщиков</w:t>
      </w:r>
      <w:r w:rsidR="00B47C34">
        <w:rPr>
          <w:sz w:val="28"/>
          <w:szCs w:val="28"/>
        </w:rPr>
        <w:t>»</w:t>
      </w:r>
      <w:r w:rsidR="005C35DB">
        <w:rPr>
          <w:sz w:val="28"/>
          <w:szCs w:val="28"/>
        </w:rPr>
        <w:t>.</w:t>
      </w:r>
    </w:p>
    <w:p w:rsidR="008B6EC1" w:rsidRDefault="008E7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7C34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>Муниципальному казенному учреждению «Управление по реализации социальных программ» (Павлова Н.В.) (по согласованию) до 01.0</w:t>
      </w:r>
      <w:r w:rsidR="00AB66C3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AB66C3">
        <w:rPr>
          <w:sz w:val="28"/>
          <w:szCs w:val="28"/>
        </w:rPr>
        <w:t>4</w:t>
      </w:r>
      <w:r>
        <w:rPr>
          <w:sz w:val="28"/>
          <w:szCs w:val="28"/>
        </w:rPr>
        <w:t xml:space="preserve"> уведомить нанимателей жилых помещений об изменении размера платы за пользование жилыми помещениями (платы за наем) по договорам социального найма жилых помещений и договорам найма жилых помещений муниципального или государственного жилищного фонда.</w:t>
      </w:r>
    </w:p>
    <w:p w:rsidR="008B6EC1" w:rsidRDefault="008E7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постановление подлежит официальному опубликованию.</w:t>
      </w:r>
    </w:p>
    <w:p w:rsidR="008B6EC1" w:rsidRDefault="005C3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77C2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города </w:t>
      </w:r>
      <w:r w:rsidR="00207998">
        <w:rPr>
          <w:sz w:val="28"/>
          <w:szCs w:val="28"/>
        </w:rPr>
        <w:t>Муллина Н.Ю.</w:t>
      </w:r>
    </w:p>
    <w:p w:rsidR="008B6EC1" w:rsidRDefault="008E77C2">
      <w:pPr>
        <w:tabs>
          <w:tab w:val="left" w:pos="1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6EC1" w:rsidRDefault="008B6EC1">
      <w:pPr>
        <w:tabs>
          <w:tab w:val="left" w:pos="1690"/>
        </w:tabs>
        <w:jc w:val="both"/>
        <w:rPr>
          <w:sz w:val="28"/>
          <w:szCs w:val="28"/>
        </w:rPr>
      </w:pPr>
    </w:p>
    <w:p w:rsidR="008E77C2" w:rsidRDefault="008E77C2">
      <w:pPr>
        <w:jc w:val="both"/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AB66C3">
        <w:rPr>
          <w:sz w:val="28"/>
          <w:szCs w:val="28"/>
        </w:rPr>
        <w:t>С.А.Сандрюков</w:t>
      </w:r>
    </w:p>
    <w:sectPr w:rsidR="008E77C2" w:rsidSect="00207998">
      <w:headerReference w:type="default" r:id="rId6"/>
      <w:footerReference w:type="first" r:id="rId7"/>
      <w:pgSz w:w="11906" w:h="16838"/>
      <w:pgMar w:top="993" w:right="566" w:bottom="709" w:left="1800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9E" w:rsidRDefault="0095469E">
      <w:r>
        <w:separator/>
      </w:r>
    </w:p>
  </w:endnote>
  <w:endnote w:type="continuationSeparator" w:id="0">
    <w:p w:rsidR="0095469E" w:rsidRDefault="0095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C1" w:rsidRDefault="008E77C2">
    <w:pPr>
      <w:pStyle w:val="a8"/>
    </w:pPr>
    <w:r>
      <w:rPr>
        <w:snapToGrid w:val="0"/>
        <w:sz w:val="16"/>
      </w:rPr>
      <w:t>Плата за наем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9E" w:rsidRDefault="0095469E">
      <w:r>
        <w:separator/>
      </w:r>
    </w:p>
  </w:footnote>
  <w:footnote w:type="continuationSeparator" w:id="0">
    <w:p w:rsidR="0095469E" w:rsidRDefault="0095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EC1" w:rsidRDefault="005C34A0">
    <w:pPr>
      <w:pStyle w:val="a6"/>
      <w:jc w:val="center"/>
    </w:pPr>
    <w:r>
      <w:fldChar w:fldCharType="begin"/>
    </w:r>
    <w:r w:rsidR="008E77C2">
      <w:instrText xml:space="preserve"> PAGE   \* MERGEFORMAT </w:instrText>
    </w:r>
    <w:r>
      <w:fldChar w:fldCharType="separate"/>
    </w:r>
    <w:r w:rsidR="00EC5EF1">
      <w:rPr>
        <w:noProof/>
      </w:rPr>
      <w:t>2</w:t>
    </w:r>
    <w:r>
      <w:fldChar w:fldCharType="end"/>
    </w:r>
  </w:p>
  <w:p w:rsidR="008B6EC1" w:rsidRDefault="008B6E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83"/>
    <w:rsid w:val="000014F8"/>
    <w:rsid w:val="000041FE"/>
    <w:rsid w:val="00006E7D"/>
    <w:rsid w:val="0001435B"/>
    <w:rsid w:val="00015E80"/>
    <w:rsid w:val="00023BED"/>
    <w:rsid w:val="00023DCC"/>
    <w:rsid w:val="000302FE"/>
    <w:rsid w:val="00030B5D"/>
    <w:rsid w:val="00033706"/>
    <w:rsid w:val="00035268"/>
    <w:rsid w:val="00037587"/>
    <w:rsid w:val="00041219"/>
    <w:rsid w:val="000450F6"/>
    <w:rsid w:val="00054F27"/>
    <w:rsid w:val="00056A07"/>
    <w:rsid w:val="000639F2"/>
    <w:rsid w:val="00065EE3"/>
    <w:rsid w:val="000666A3"/>
    <w:rsid w:val="0007054B"/>
    <w:rsid w:val="000730B9"/>
    <w:rsid w:val="000815AA"/>
    <w:rsid w:val="000817C6"/>
    <w:rsid w:val="00081AC5"/>
    <w:rsid w:val="00081C49"/>
    <w:rsid w:val="00082711"/>
    <w:rsid w:val="000A0368"/>
    <w:rsid w:val="000A15B2"/>
    <w:rsid w:val="000A7EDE"/>
    <w:rsid w:val="000B28E8"/>
    <w:rsid w:val="000B2D56"/>
    <w:rsid w:val="000B64B1"/>
    <w:rsid w:val="000D02DB"/>
    <w:rsid w:val="000D0D1C"/>
    <w:rsid w:val="000D2541"/>
    <w:rsid w:val="000D3DDE"/>
    <w:rsid w:val="000D7B8C"/>
    <w:rsid w:val="000D7D06"/>
    <w:rsid w:val="000E086B"/>
    <w:rsid w:val="000E4055"/>
    <w:rsid w:val="000E42F0"/>
    <w:rsid w:val="000E4808"/>
    <w:rsid w:val="000E4A84"/>
    <w:rsid w:val="000F0C9F"/>
    <w:rsid w:val="000F19B5"/>
    <w:rsid w:val="001003E5"/>
    <w:rsid w:val="001011F2"/>
    <w:rsid w:val="00103EC3"/>
    <w:rsid w:val="00104551"/>
    <w:rsid w:val="001047AD"/>
    <w:rsid w:val="0010741B"/>
    <w:rsid w:val="00107F05"/>
    <w:rsid w:val="001106B5"/>
    <w:rsid w:val="00116A33"/>
    <w:rsid w:val="001214FF"/>
    <w:rsid w:val="00123133"/>
    <w:rsid w:val="00123D1E"/>
    <w:rsid w:val="00126164"/>
    <w:rsid w:val="00126692"/>
    <w:rsid w:val="00135579"/>
    <w:rsid w:val="00135F1F"/>
    <w:rsid w:val="00137BA5"/>
    <w:rsid w:val="00145FD3"/>
    <w:rsid w:val="001469DD"/>
    <w:rsid w:val="001520C1"/>
    <w:rsid w:val="0015233E"/>
    <w:rsid w:val="00154EB5"/>
    <w:rsid w:val="00160F9F"/>
    <w:rsid w:val="00163B6C"/>
    <w:rsid w:val="00174154"/>
    <w:rsid w:val="001746AA"/>
    <w:rsid w:val="00176C1F"/>
    <w:rsid w:val="00180B75"/>
    <w:rsid w:val="00183FEA"/>
    <w:rsid w:val="001843A7"/>
    <w:rsid w:val="001852AF"/>
    <w:rsid w:val="0018631F"/>
    <w:rsid w:val="00196EFB"/>
    <w:rsid w:val="001A0984"/>
    <w:rsid w:val="001A0E0E"/>
    <w:rsid w:val="001A26BD"/>
    <w:rsid w:val="001A387D"/>
    <w:rsid w:val="001A4504"/>
    <w:rsid w:val="001A4650"/>
    <w:rsid w:val="001A6DF7"/>
    <w:rsid w:val="001B3BE1"/>
    <w:rsid w:val="001B6816"/>
    <w:rsid w:val="001B6B9B"/>
    <w:rsid w:val="001B71B6"/>
    <w:rsid w:val="001C404A"/>
    <w:rsid w:val="001C5819"/>
    <w:rsid w:val="001C5CAB"/>
    <w:rsid w:val="001C6E0E"/>
    <w:rsid w:val="001C700C"/>
    <w:rsid w:val="001D1867"/>
    <w:rsid w:val="001D22B2"/>
    <w:rsid w:val="001D50AA"/>
    <w:rsid w:val="001E1DB3"/>
    <w:rsid w:val="001E2408"/>
    <w:rsid w:val="001E2828"/>
    <w:rsid w:val="001E3AD1"/>
    <w:rsid w:val="001E77A9"/>
    <w:rsid w:val="00200FE8"/>
    <w:rsid w:val="00204061"/>
    <w:rsid w:val="00207998"/>
    <w:rsid w:val="00207A3A"/>
    <w:rsid w:val="0022048D"/>
    <w:rsid w:val="002206C8"/>
    <w:rsid w:val="00221AA3"/>
    <w:rsid w:val="0022256A"/>
    <w:rsid w:val="002257C0"/>
    <w:rsid w:val="00225C1E"/>
    <w:rsid w:val="00225C4D"/>
    <w:rsid w:val="0023412E"/>
    <w:rsid w:val="00236EBF"/>
    <w:rsid w:val="00241167"/>
    <w:rsid w:val="00242ACB"/>
    <w:rsid w:val="00245530"/>
    <w:rsid w:val="00247D7C"/>
    <w:rsid w:val="002533EA"/>
    <w:rsid w:val="00253B01"/>
    <w:rsid w:val="0025418E"/>
    <w:rsid w:val="00261251"/>
    <w:rsid w:val="0026259F"/>
    <w:rsid w:val="00263E0B"/>
    <w:rsid w:val="00264115"/>
    <w:rsid w:val="0027153C"/>
    <w:rsid w:val="002720D4"/>
    <w:rsid w:val="0028214F"/>
    <w:rsid w:val="002825FD"/>
    <w:rsid w:val="00286FCB"/>
    <w:rsid w:val="002932FA"/>
    <w:rsid w:val="002956A0"/>
    <w:rsid w:val="0029799D"/>
    <w:rsid w:val="00297DFC"/>
    <w:rsid w:val="002A062D"/>
    <w:rsid w:val="002A37B7"/>
    <w:rsid w:val="002A3BCE"/>
    <w:rsid w:val="002A456C"/>
    <w:rsid w:val="002A4BC7"/>
    <w:rsid w:val="002A6650"/>
    <w:rsid w:val="002A6F21"/>
    <w:rsid w:val="002B1815"/>
    <w:rsid w:val="002B1833"/>
    <w:rsid w:val="002B3723"/>
    <w:rsid w:val="002C2D98"/>
    <w:rsid w:val="002C5568"/>
    <w:rsid w:val="002C572C"/>
    <w:rsid w:val="002C6523"/>
    <w:rsid w:val="002C6DE8"/>
    <w:rsid w:val="002D68D8"/>
    <w:rsid w:val="002D7751"/>
    <w:rsid w:val="002E21AA"/>
    <w:rsid w:val="002F13BA"/>
    <w:rsid w:val="002F1DDE"/>
    <w:rsid w:val="002F5926"/>
    <w:rsid w:val="002F73CE"/>
    <w:rsid w:val="00303266"/>
    <w:rsid w:val="003044F4"/>
    <w:rsid w:val="00307B10"/>
    <w:rsid w:val="003118C6"/>
    <w:rsid w:val="00321616"/>
    <w:rsid w:val="00322CE2"/>
    <w:rsid w:val="003331EA"/>
    <w:rsid w:val="00334ED3"/>
    <w:rsid w:val="003523A0"/>
    <w:rsid w:val="00357246"/>
    <w:rsid w:val="0036030B"/>
    <w:rsid w:val="00361425"/>
    <w:rsid w:val="00363632"/>
    <w:rsid w:val="0036528B"/>
    <w:rsid w:val="00366A45"/>
    <w:rsid w:val="003722BA"/>
    <w:rsid w:val="003771B2"/>
    <w:rsid w:val="00377FDD"/>
    <w:rsid w:val="00381C9C"/>
    <w:rsid w:val="00382928"/>
    <w:rsid w:val="00383B03"/>
    <w:rsid w:val="00384CD4"/>
    <w:rsid w:val="00385892"/>
    <w:rsid w:val="00386327"/>
    <w:rsid w:val="003916A4"/>
    <w:rsid w:val="00392D04"/>
    <w:rsid w:val="00393A34"/>
    <w:rsid w:val="003956CC"/>
    <w:rsid w:val="00397462"/>
    <w:rsid w:val="003A072C"/>
    <w:rsid w:val="003A086F"/>
    <w:rsid w:val="003A2548"/>
    <w:rsid w:val="003A659B"/>
    <w:rsid w:val="003A6BEF"/>
    <w:rsid w:val="003A7EC9"/>
    <w:rsid w:val="003B12B2"/>
    <w:rsid w:val="003B799B"/>
    <w:rsid w:val="003C22C5"/>
    <w:rsid w:val="003D13ED"/>
    <w:rsid w:val="003D5721"/>
    <w:rsid w:val="003D5AFF"/>
    <w:rsid w:val="003D7F1D"/>
    <w:rsid w:val="003E26D0"/>
    <w:rsid w:val="003E535E"/>
    <w:rsid w:val="003E6955"/>
    <w:rsid w:val="003F1666"/>
    <w:rsid w:val="003F3B50"/>
    <w:rsid w:val="003F3DF3"/>
    <w:rsid w:val="003F4E43"/>
    <w:rsid w:val="003F52DB"/>
    <w:rsid w:val="003F6F0D"/>
    <w:rsid w:val="00403535"/>
    <w:rsid w:val="004100F1"/>
    <w:rsid w:val="00413E96"/>
    <w:rsid w:val="00415F41"/>
    <w:rsid w:val="004160C3"/>
    <w:rsid w:val="0042301E"/>
    <w:rsid w:val="004301D9"/>
    <w:rsid w:val="0043028B"/>
    <w:rsid w:val="004320B4"/>
    <w:rsid w:val="00451828"/>
    <w:rsid w:val="00454828"/>
    <w:rsid w:val="00462F24"/>
    <w:rsid w:val="00466353"/>
    <w:rsid w:val="004665AD"/>
    <w:rsid w:val="00476955"/>
    <w:rsid w:val="00477D77"/>
    <w:rsid w:val="004809E4"/>
    <w:rsid w:val="00481019"/>
    <w:rsid w:val="0048588D"/>
    <w:rsid w:val="00487277"/>
    <w:rsid w:val="004A0B94"/>
    <w:rsid w:val="004A4DAA"/>
    <w:rsid w:val="004A6F0F"/>
    <w:rsid w:val="004B1212"/>
    <w:rsid w:val="004B16B3"/>
    <w:rsid w:val="004B1FAF"/>
    <w:rsid w:val="004B20B6"/>
    <w:rsid w:val="004B290A"/>
    <w:rsid w:val="004B34C1"/>
    <w:rsid w:val="004B5D58"/>
    <w:rsid w:val="004B6C6B"/>
    <w:rsid w:val="004C13C7"/>
    <w:rsid w:val="004C35F8"/>
    <w:rsid w:val="004D0399"/>
    <w:rsid w:val="004D169D"/>
    <w:rsid w:val="004D2203"/>
    <w:rsid w:val="004D323A"/>
    <w:rsid w:val="004D787A"/>
    <w:rsid w:val="004E0B1D"/>
    <w:rsid w:val="004E14B3"/>
    <w:rsid w:val="004E21EE"/>
    <w:rsid w:val="004F12D9"/>
    <w:rsid w:val="004F2321"/>
    <w:rsid w:val="004F2B4A"/>
    <w:rsid w:val="004F6D10"/>
    <w:rsid w:val="004F742D"/>
    <w:rsid w:val="005007EA"/>
    <w:rsid w:val="005011C3"/>
    <w:rsid w:val="005024FC"/>
    <w:rsid w:val="0050694A"/>
    <w:rsid w:val="00507269"/>
    <w:rsid w:val="00507A80"/>
    <w:rsid w:val="005207FD"/>
    <w:rsid w:val="00520B77"/>
    <w:rsid w:val="0052254E"/>
    <w:rsid w:val="00523755"/>
    <w:rsid w:val="00526402"/>
    <w:rsid w:val="00527F49"/>
    <w:rsid w:val="00530F02"/>
    <w:rsid w:val="00535A44"/>
    <w:rsid w:val="0054207E"/>
    <w:rsid w:val="0054599B"/>
    <w:rsid w:val="005463D8"/>
    <w:rsid w:val="00550089"/>
    <w:rsid w:val="0055104B"/>
    <w:rsid w:val="005542C0"/>
    <w:rsid w:val="0055781C"/>
    <w:rsid w:val="00560EB5"/>
    <w:rsid w:val="00563199"/>
    <w:rsid w:val="005651CE"/>
    <w:rsid w:val="005668AC"/>
    <w:rsid w:val="0057131C"/>
    <w:rsid w:val="005714F5"/>
    <w:rsid w:val="00572D9D"/>
    <w:rsid w:val="00575729"/>
    <w:rsid w:val="0058580A"/>
    <w:rsid w:val="00596576"/>
    <w:rsid w:val="005A05C2"/>
    <w:rsid w:val="005A0DDE"/>
    <w:rsid w:val="005A255D"/>
    <w:rsid w:val="005A6139"/>
    <w:rsid w:val="005A6B4C"/>
    <w:rsid w:val="005B1380"/>
    <w:rsid w:val="005B5902"/>
    <w:rsid w:val="005B5D75"/>
    <w:rsid w:val="005B7C2A"/>
    <w:rsid w:val="005B7F4A"/>
    <w:rsid w:val="005C34A0"/>
    <w:rsid w:val="005C35DB"/>
    <w:rsid w:val="005C3676"/>
    <w:rsid w:val="005C40DC"/>
    <w:rsid w:val="005C502D"/>
    <w:rsid w:val="005C694D"/>
    <w:rsid w:val="005C748D"/>
    <w:rsid w:val="005E07CF"/>
    <w:rsid w:val="005E2FE2"/>
    <w:rsid w:val="005E3E1F"/>
    <w:rsid w:val="005E6DCB"/>
    <w:rsid w:val="005F19F6"/>
    <w:rsid w:val="005F79ED"/>
    <w:rsid w:val="00601FCC"/>
    <w:rsid w:val="006038E6"/>
    <w:rsid w:val="006138C3"/>
    <w:rsid w:val="006155A3"/>
    <w:rsid w:val="00617073"/>
    <w:rsid w:val="006179F5"/>
    <w:rsid w:val="0062555F"/>
    <w:rsid w:val="006272B9"/>
    <w:rsid w:val="00627938"/>
    <w:rsid w:val="00627CFE"/>
    <w:rsid w:val="0063102B"/>
    <w:rsid w:val="00631970"/>
    <w:rsid w:val="00632D28"/>
    <w:rsid w:val="006424E4"/>
    <w:rsid w:val="0064340E"/>
    <w:rsid w:val="00652343"/>
    <w:rsid w:val="006558F6"/>
    <w:rsid w:val="006577C8"/>
    <w:rsid w:val="0066146C"/>
    <w:rsid w:val="00662255"/>
    <w:rsid w:val="006623B9"/>
    <w:rsid w:val="00663095"/>
    <w:rsid w:val="00667F93"/>
    <w:rsid w:val="00671A12"/>
    <w:rsid w:val="00672E37"/>
    <w:rsid w:val="00675184"/>
    <w:rsid w:val="00675ADE"/>
    <w:rsid w:val="00684E5D"/>
    <w:rsid w:val="00685E9D"/>
    <w:rsid w:val="00686E2E"/>
    <w:rsid w:val="00692537"/>
    <w:rsid w:val="00692E9E"/>
    <w:rsid w:val="006951C1"/>
    <w:rsid w:val="00695705"/>
    <w:rsid w:val="0069694B"/>
    <w:rsid w:val="00697654"/>
    <w:rsid w:val="006A0D30"/>
    <w:rsid w:val="006A1030"/>
    <w:rsid w:val="006A115E"/>
    <w:rsid w:val="006A2E26"/>
    <w:rsid w:val="006A45AA"/>
    <w:rsid w:val="006A49A1"/>
    <w:rsid w:val="006A4EA7"/>
    <w:rsid w:val="006B2ECB"/>
    <w:rsid w:val="006B55C1"/>
    <w:rsid w:val="006C1E4F"/>
    <w:rsid w:val="006C2F4B"/>
    <w:rsid w:val="006C78C1"/>
    <w:rsid w:val="006D3EAA"/>
    <w:rsid w:val="006E3411"/>
    <w:rsid w:val="006F271D"/>
    <w:rsid w:val="006F784C"/>
    <w:rsid w:val="007073CF"/>
    <w:rsid w:val="0071194E"/>
    <w:rsid w:val="00714C81"/>
    <w:rsid w:val="007235A1"/>
    <w:rsid w:val="00725E53"/>
    <w:rsid w:val="00726E1B"/>
    <w:rsid w:val="00733E60"/>
    <w:rsid w:val="0073462A"/>
    <w:rsid w:val="00734A86"/>
    <w:rsid w:val="00740E5A"/>
    <w:rsid w:val="00741982"/>
    <w:rsid w:val="00741C99"/>
    <w:rsid w:val="00761437"/>
    <w:rsid w:val="0076423B"/>
    <w:rsid w:val="00764298"/>
    <w:rsid w:val="00772DCC"/>
    <w:rsid w:val="00773D9E"/>
    <w:rsid w:val="0078328C"/>
    <w:rsid w:val="007926A7"/>
    <w:rsid w:val="00793523"/>
    <w:rsid w:val="00794320"/>
    <w:rsid w:val="007A1FED"/>
    <w:rsid w:val="007A2B84"/>
    <w:rsid w:val="007A402F"/>
    <w:rsid w:val="007B78F0"/>
    <w:rsid w:val="007C451F"/>
    <w:rsid w:val="007D121F"/>
    <w:rsid w:val="007D5D46"/>
    <w:rsid w:val="007D62E4"/>
    <w:rsid w:val="007E05C8"/>
    <w:rsid w:val="007E0F6B"/>
    <w:rsid w:val="007E1D23"/>
    <w:rsid w:val="007E37F6"/>
    <w:rsid w:val="007F054A"/>
    <w:rsid w:val="007F1E93"/>
    <w:rsid w:val="007F4EB5"/>
    <w:rsid w:val="007F62A0"/>
    <w:rsid w:val="007F6788"/>
    <w:rsid w:val="008006CB"/>
    <w:rsid w:val="008023D3"/>
    <w:rsid w:val="00805653"/>
    <w:rsid w:val="0081181D"/>
    <w:rsid w:val="00811919"/>
    <w:rsid w:val="00812C44"/>
    <w:rsid w:val="00815542"/>
    <w:rsid w:val="00817A7A"/>
    <w:rsid w:val="00821AF2"/>
    <w:rsid w:val="00823AEB"/>
    <w:rsid w:val="0082681A"/>
    <w:rsid w:val="00827016"/>
    <w:rsid w:val="00830134"/>
    <w:rsid w:val="00832CB5"/>
    <w:rsid w:val="00834DBC"/>
    <w:rsid w:val="00835081"/>
    <w:rsid w:val="00840C3C"/>
    <w:rsid w:val="0084100F"/>
    <w:rsid w:val="00843AF3"/>
    <w:rsid w:val="00844E0A"/>
    <w:rsid w:val="00850D38"/>
    <w:rsid w:val="00855807"/>
    <w:rsid w:val="00861915"/>
    <w:rsid w:val="00862C8B"/>
    <w:rsid w:val="00863F23"/>
    <w:rsid w:val="00864CF0"/>
    <w:rsid w:val="008658AE"/>
    <w:rsid w:val="00871D19"/>
    <w:rsid w:val="008750D7"/>
    <w:rsid w:val="00886B2C"/>
    <w:rsid w:val="008927C4"/>
    <w:rsid w:val="00892ED4"/>
    <w:rsid w:val="008A2997"/>
    <w:rsid w:val="008A4B76"/>
    <w:rsid w:val="008A53E1"/>
    <w:rsid w:val="008B1387"/>
    <w:rsid w:val="008B418B"/>
    <w:rsid w:val="008B6EC1"/>
    <w:rsid w:val="008B726F"/>
    <w:rsid w:val="008C017A"/>
    <w:rsid w:val="008C312F"/>
    <w:rsid w:val="008C5053"/>
    <w:rsid w:val="008C799A"/>
    <w:rsid w:val="008D0F8D"/>
    <w:rsid w:val="008D19D5"/>
    <w:rsid w:val="008D34A3"/>
    <w:rsid w:val="008D3F35"/>
    <w:rsid w:val="008D7BF7"/>
    <w:rsid w:val="008E06E2"/>
    <w:rsid w:val="008E0FD5"/>
    <w:rsid w:val="008E77C2"/>
    <w:rsid w:val="008F2ABE"/>
    <w:rsid w:val="008F2CFC"/>
    <w:rsid w:val="008F4C48"/>
    <w:rsid w:val="008F4CE6"/>
    <w:rsid w:val="008F6F9F"/>
    <w:rsid w:val="00900A0E"/>
    <w:rsid w:val="00903EB7"/>
    <w:rsid w:val="0090661D"/>
    <w:rsid w:val="00907AA5"/>
    <w:rsid w:val="00910E98"/>
    <w:rsid w:val="0091185D"/>
    <w:rsid w:val="009150F0"/>
    <w:rsid w:val="0092169D"/>
    <w:rsid w:val="009219D5"/>
    <w:rsid w:val="0092691B"/>
    <w:rsid w:val="00927DBC"/>
    <w:rsid w:val="00931322"/>
    <w:rsid w:val="00941DB7"/>
    <w:rsid w:val="00943478"/>
    <w:rsid w:val="0094742E"/>
    <w:rsid w:val="009522AE"/>
    <w:rsid w:val="0095469E"/>
    <w:rsid w:val="00961BCD"/>
    <w:rsid w:val="00961EED"/>
    <w:rsid w:val="0096309D"/>
    <w:rsid w:val="009650F2"/>
    <w:rsid w:val="00972496"/>
    <w:rsid w:val="0097441D"/>
    <w:rsid w:val="0097556F"/>
    <w:rsid w:val="00975BE7"/>
    <w:rsid w:val="009763C5"/>
    <w:rsid w:val="00981941"/>
    <w:rsid w:val="009828A6"/>
    <w:rsid w:val="00984472"/>
    <w:rsid w:val="0098627F"/>
    <w:rsid w:val="009908FE"/>
    <w:rsid w:val="009922BB"/>
    <w:rsid w:val="00993447"/>
    <w:rsid w:val="0099504E"/>
    <w:rsid w:val="009A263A"/>
    <w:rsid w:val="009B42DF"/>
    <w:rsid w:val="009B42FF"/>
    <w:rsid w:val="009B4F88"/>
    <w:rsid w:val="009B52F1"/>
    <w:rsid w:val="009B5FF0"/>
    <w:rsid w:val="009B7C55"/>
    <w:rsid w:val="009C050E"/>
    <w:rsid w:val="009C33EC"/>
    <w:rsid w:val="009C5265"/>
    <w:rsid w:val="009C5A39"/>
    <w:rsid w:val="009D3719"/>
    <w:rsid w:val="009D49F8"/>
    <w:rsid w:val="009E5697"/>
    <w:rsid w:val="009E5F8B"/>
    <w:rsid w:val="009E6CE5"/>
    <w:rsid w:val="009F0849"/>
    <w:rsid w:val="009F7E2F"/>
    <w:rsid w:val="00A00082"/>
    <w:rsid w:val="00A009C1"/>
    <w:rsid w:val="00A023FF"/>
    <w:rsid w:val="00A0782A"/>
    <w:rsid w:val="00A149B1"/>
    <w:rsid w:val="00A2148D"/>
    <w:rsid w:val="00A3096E"/>
    <w:rsid w:val="00A33DE4"/>
    <w:rsid w:val="00A33FD8"/>
    <w:rsid w:val="00A40E65"/>
    <w:rsid w:val="00A41B82"/>
    <w:rsid w:val="00A43E6D"/>
    <w:rsid w:val="00A52AA0"/>
    <w:rsid w:val="00A52B4E"/>
    <w:rsid w:val="00A536E2"/>
    <w:rsid w:val="00A54AE3"/>
    <w:rsid w:val="00A561A8"/>
    <w:rsid w:val="00A6065F"/>
    <w:rsid w:val="00A62947"/>
    <w:rsid w:val="00A678E9"/>
    <w:rsid w:val="00A7519E"/>
    <w:rsid w:val="00A7556E"/>
    <w:rsid w:val="00A80323"/>
    <w:rsid w:val="00A80B62"/>
    <w:rsid w:val="00A81412"/>
    <w:rsid w:val="00A82EB4"/>
    <w:rsid w:val="00A94EED"/>
    <w:rsid w:val="00AA004D"/>
    <w:rsid w:val="00AA1350"/>
    <w:rsid w:val="00AB34B5"/>
    <w:rsid w:val="00AB3953"/>
    <w:rsid w:val="00AB40B3"/>
    <w:rsid w:val="00AB66C3"/>
    <w:rsid w:val="00AB7CD6"/>
    <w:rsid w:val="00AC6703"/>
    <w:rsid w:val="00AD44A5"/>
    <w:rsid w:val="00AD6FEB"/>
    <w:rsid w:val="00AE07D3"/>
    <w:rsid w:val="00AE29F6"/>
    <w:rsid w:val="00AF22EE"/>
    <w:rsid w:val="00AF4C28"/>
    <w:rsid w:val="00AF6132"/>
    <w:rsid w:val="00B00255"/>
    <w:rsid w:val="00B01441"/>
    <w:rsid w:val="00B015DE"/>
    <w:rsid w:val="00B031C0"/>
    <w:rsid w:val="00B03F83"/>
    <w:rsid w:val="00B04ED8"/>
    <w:rsid w:val="00B11D37"/>
    <w:rsid w:val="00B175F5"/>
    <w:rsid w:val="00B20B62"/>
    <w:rsid w:val="00B22E41"/>
    <w:rsid w:val="00B32FBD"/>
    <w:rsid w:val="00B33720"/>
    <w:rsid w:val="00B37110"/>
    <w:rsid w:val="00B4044D"/>
    <w:rsid w:val="00B41C8E"/>
    <w:rsid w:val="00B47C34"/>
    <w:rsid w:val="00B544FF"/>
    <w:rsid w:val="00B54B1F"/>
    <w:rsid w:val="00B57667"/>
    <w:rsid w:val="00B73661"/>
    <w:rsid w:val="00B777A2"/>
    <w:rsid w:val="00B77C66"/>
    <w:rsid w:val="00B808B7"/>
    <w:rsid w:val="00B8211E"/>
    <w:rsid w:val="00B82690"/>
    <w:rsid w:val="00B83800"/>
    <w:rsid w:val="00B91295"/>
    <w:rsid w:val="00B9329A"/>
    <w:rsid w:val="00B93F90"/>
    <w:rsid w:val="00B945A4"/>
    <w:rsid w:val="00B95F6F"/>
    <w:rsid w:val="00BA3FFD"/>
    <w:rsid w:val="00BA6F65"/>
    <w:rsid w:val="00BA75F9"/>
    <w:rsid w:val="00BA783F"/>
    <w:rsid w:val="00BA7B88"/>
    <w:rsid w:val="00BB112D"/>
    <w:rsid w:val="00BB3B9B"/>
    <w:rsid w:val="00BB7ED4"/>
    <w:rsid w:val="00BC28F4"/>
    <w:rsid w:val="00BC3928"/>
    <w:rsid w:val="00BC7369"/>
    <w:rsid w:val="00BC777B"/>
    <w:rsid w:val="00BD05B3"/>
    <w:rsid w:val="00BD09F5"/>
    <w:rsid w:val="00BD0A02"/>
    <w:rsid w:val="00BD0B34"/>
    <w:rsid w:val="00BD1D57"/>
    <w:rsid w:val="00BD3357"/>
    <w:rsid w:val="00BD3551"/>
    <w:rsid w:val="00BD416D"/>
    <w:rsid w:val="00BD6E56"/>
    <w:rsid w:val="00BD7E40"/>
    <w:rsid w:val="00BE1C5C"/>
    <w:rsid w:val="00BE2F68"/>
    <w:rsid w:val="00BE4CA2"/>
    <w:rsid w:val="00BF04B9"/>
    <w:rsid w:val="00BF14C5"/>
    <w:rsid w:val="00BF2815"/>
    <w:rsid w:val="00C014DB"/>
    <w:rsid w:val="00C0184D"/>
    <w:rsid w:val="00C05864"/>
    <w:rsid w:val="00C07BF7"/>
    <w:rsid w:val="00C16BB7"/>
    <w:rsid w:val="00C17B18"/>
    <w:rsid w:val="00C2188D"/>
    <w:rsid w:val="00C22471"/>
    <w:rsid w:val="00C23F35"/>
    <w:rsid w:val="00C26B91"/>
    <w:rsid w:val="00C3468E"/>
    <w:rsid w:val="00C3495C"/>
    <w:rsid w:val="00C41D25"/>
    <w:rsid w:val="00C44793"/>
    <w:rsid w:val="00C465D6"/>
    <w:rsid w:val="00C51B2B"/>
    <w:rsid w:val="00C53B33"/>
    <w:rsid w:val="00C53C79"/>
    <w:rsid w:val="00C55320"/>
    <w:rsid w:val="00C56F10"/>
    <w:rsid w:val="00C603EB"/>
    <w:rsid w:val="00C61FA9"/>
    <w:rsid w:val="00C6214C"/>
    <w:rsid w:val="00C67166"/>
    <w:rsid w:val="00C67EB7"/>
    <w:rsid w:val="00C750BA"/>
    <w:rsid w:val="00C755BA"/>
    <w:rsid w:val="00C95823"/>
    <w:rsid w:val="00CA7172"/>
    <w:rsid w:val="00CB0C61"/>
    <w:rsid w:val="00CB0FC4"/>
    <w:rsid w:val="00CB18B8"/>
    <w:rsid w:val="00CB2483"/>
    <w:rsid w:val="00CC73F5"/>
    <w:rsid w:val="00CC7442"/>
    <w:rsid w:val="00CC75D1"/>
    <w:rsid w:val="00CC7956"/>
    <w:rsid w:val="00CD485D"/>
    <w:rsid w:val="00CD4F24"/>
    <w:rsid w:val="00CD6DC0"/>
    <w:rsid w:val="00CE0F10"/>
    <w:rsid w:val="00CF183A"/>
    <w:rsid w:val="00D01F86"/>
    <w:rsid w:val="00D066AE"/>
    <w:rsid w:val="00D077AB"/>
    <w:rsid w:val="00D104BD"/>
    <w:rsid w:val="00D12783"/>
    <w:rsid w:val="00D13267"/>
    <w:rsid w:val="00D16444"/>
    <w:rsid w:val="00D22ED5"/>
    <w:rsid w:val="00D27511"/>
    <w:rsid w:val="00D32F7B"/>
    <w:rsid w:val="00D340C5"/>
    <w:rsid w:val="00D356A4"/>
    <w:rsid w:val="00D410EC"/>
    <w:rsid w:val="00D42417"/>
    <w:rsid w:val="00D45E63"/>
    <w:rsid w:val="00D51E02"/>
    <w:rsid w:val="00D53D96"/>
    <w:rsid w:val="00D57C65"/>
    <w:rsid w:val="00D611D8"/>
    <w:rsid w:val="00D61DE4"/>
    <w:rsid w:val="00D620FE"/>
    <w:rsid w:val="00D64CF4"/>
    <w:rsid w:val="00D66AB1"/>
    <w:rsid w:val="00D71D65"/>
    <w:rsid w:val="00D73C9A"/>
    <w:rsid w:val="00D74B38"/>
    <w:rsid w:val="00D76AC1"/>
    <w:rsid w:val="00D8102D"/>
    <w:rsid w:val="00D91118"/>
    <w:rsid w:val="00D91FD1"/>
    <w:rsid w:val="00D92EB0"/>
    <w:rsid w:val="00D96B5B"/>
    <w:rsid w:val="00D972B9"/>
    <w:rsid w:val="00D9793D"/>
    <w:rsid w:val="00DA0298"/>
    <w:rsid w:val="00DA2AA5"/>
    <w:rsid w:val="00DA2BB2"/>
    <w:rsid w:val="00DA2E1C"/>
    <w:rsid w:val="00DA3E29"/>
    <w:rsid w:val="00DA4FD6"/>
    <w:rsid w:val="00DA773D"/>
    <w:rsid w:val="00DB1C9A"/>
    <w:rsid w:val="00DB353D"/>
    <w:rsid w:val="00DB3BC5"/>
    <w:rsid w:val="00DB4D1E"/>
    <w:rsid w:val="00DB70ED"/>
    <w:rsid w:val="00DC1E6E"/>
    <w:rsid w:val="00DD0C73"/>
    <w:rsid w:val="00DD169B"/>
    <w:rsid w:val="00DD636D"/>
    <w:rsid w:val="00DE0CEE"/>
    <w:rsid w:val="00DE6F36"/>
    <w:rsid w:val="00DF1E7C"/>
    <w:rsid w:val="00DF4949"/>
    <w:rsid w:val="00DF7A3E"/>
    <w:rsid w:val="00E000AD"/>
    <w:rsid w:val="00E029EF"/>
    <w:rsid w:val="00E07E32"/>
    <w:rsid w:val="00E12425"/>
    <w:rsid w:val="00E14AA9"/>
    <w:rsid w:val="00E15449"/>
    <w:rsid w:val="00E179E2"/>
    <w:rsid w:val="00E311A6"/>
    <w:rsid w:val="00E32CA9"/>
    <w:rsid w:val="00E345B2"/>
    <w:rsid w:val="00E3493C"/>
    <w:rsid w:val="00E35370"/>
    <w:rsid w:val="00E43CB0"/>
    <w:rsid w:val="00E45F1C"/>
    <w:rsid w:val="00E51733"/>
    <w:rsid w:val="00E556F9"/>
    <w:rsid w:val="00E55B23"/>
    <w:rsid w:val="00E62C4B"/>
    <w:rsid w:val="00E648EC"/>
    <w:rsid w:val="00E64B9C"/>
    <w:rsid w:val="00E65BCE"/>
    <w:rsid w:val="00E66A5B"/>
    <w:rsid w:val="00E672FA"/>
    <w:rsid w:val="00E67613"/>
    <w:rsid w:val="00E76B54"/>
    <w:rsid w:val="00E85033"/>
    <w:rsid w:val="00E915F2"/>
    <w:rsid w:val="00EA1650"/>
    <w:rsid w:val="00EA5198"/>
    <w:rsid w:val="00EB07F7"/>
    <w:rsid w:val="00EB31BF"/>
    <w:rsid w:val="00EB393F"/>
    <w:rsid w:val="00EB6381"/>
    <w:rsid w:val="00EC239A"/>
    <w:rsid w:val="00EC28A0"/>
    <w:rsid w:val="00EC4487"/>
    <w:rsid w:val="00EC5EF1"/>
    <w:rsid w:val="00EC7B80"/>
    <w:rsid w:val="00ED149A"/>
    <w:rsid w:val="00ED4230"/>
    <w:rsid w:val="00ED7212"/>
    <w:rsid w:val="00EE17DE"/>
    <w:rsid w:val="00EE319A"/>
    <w:rsid w:val="00EE7386"/>
    <w:rsid w:val="00EE75A8"/>
    <w:rsid w:val="00EE78F2"/>
    <w:rsid w:val="00EF1EDC"/>
    <w:rsid w:val="00EF4248"/>
    <w:rsid w:val="00EF74C3"/>
    <w:rsid w:val="00F04165"/>
    <w:rsid w:val="00F0507C"/>
    <w:rsid w:val="00F0735A"/>
    <w:rsid w:val="00F1245F"/>
    <w:rsid w:val="00F23516"/>
    <w:rsid w:val="00F343D8"/>
    <w:rsid w:val="00F35FA3"/>
    <w:rsid w:val="00F46DD3"/>
    <w:rsid w:val="00F510D0"/>
    <w:rsid w:val="00F52185"/>
    <w:rsid w:val="00F5561B"/>
    <w:rsid w:val="00F56B86"/>
    <w:rsid w:val="00F56BC5"/>
    <w:rsid w:val="00F610E0"/>
    <w:rsid w:val="00F64278"/>
    <w:rsid w:val="00F65BCF"/>
    <w:rsid w:val="00F761A3"/>
    <w:rsid w:val="00F82C1B"/>
    <w:rsid w:val="00F840CA"/>
    <w:rsid w:val="00F920B0"/>
    <w:rsid w:val="00F925FE"/>
    <w:rsid w:val="00F95532"/>
    <w:rsid w:val="00F96660"/>
    <w:rsid w:val="00FA22B0"/>
    <w:rsid w:val="00FA28F7"/>
    <w:rsid w:val="00FA6E3E"/>
    <w:rsid w:val="00FA6E8E"/>
    <w:rsid w:val="00FA7C60"/>
    <w:rsid w:val="00FB24F9"/>
    <w:rsid w:val="00FC0AC3"/>
    <w:rsid w:val="00FC5DF9"/>
    <w:rsid w:val="00FC74C1"/>
    <w:rsid w:val="00FD216E"/>
    <w:rsid w:val="00FD2CE1"/>
    <w:rsid w:val="00FD4170"/>
    <w:rsid w:val="00FD7318"/>
    <w:rsid w:val="00FE0983"/>
    <w:rsid w:val="00FE2E89"/>
    <w:rsid w:val="00FE5E1E"/>
    <w:rsid w:val="00FF2C17"/>
    <w:rsid w:val="00FF3414"/>
    <w:rsid w:val="00FF6FF6"/>
    <w:rsid w:val="00FF79AC"/>
    <w:rsid w:val="74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E1917-8702-4299-9F5F-2977326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C1"/>
  </w:style>
  <w:style w:type="paragraph" w:styleId="1">
    <w:name w:val="heading 1"/>
    <w:basedOn w:val="a"/>
    <w:next w:val="a"/>
    <w:link w:val="10"/>
    <w:qFormat/>
    <w:rsid w:val="008B6EC1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C1"/>
    <w:rPr>
      <w:b/>
      <w:bCs/>
      <w:sz w:val="28"/>
      <w:szCs w:val="24"/>
    </w:rPr>
  </w:style>
  <w:style w:type="paragraph" w:styleId="a3">
    <w:name w:val="Balloon Text"/>
    <w:basedOn w:val="a"/>
    <w:semiHidden/>
    <w:rsid w:val="008B6EC1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8B6EC1"/>
    <w:rPr>
      <w:rFonts w:ascii="Courier New" w:hAnsi="Courier New"/>
    </w:rPr>
  </w:style>
  <w:style w:type="character" w:customStyle="1" w:styleId="a5">
    <w:name w:val="Текст Знак"/>
    <w:link w:val="a4"/>
    <w:rsid w:val="008B6EC1"/>
    <w:rPr>
      <w:rFonts w:ascii="Courier New" w:hAnsi="Courier New"/>
      <w:lang w:val="ru-RU" w:eastAsia="ru-RU" w:bidi="ar-SA"/>
    </w:rPr>
  </w:style>
  <w:style w:type="paragraph" w:styleId="a6">
    <w:name w:val="header"/>
    <w:basedOn w:val="a"/>
    <w:link w:val="a7"/>
    <w:rsid w:val="008B6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EC1"/>
  </w:style>
  <w:style w:type="paragraph" w:styleId="a8">
    <w:name w:val="footer"/>
    <w:basedOn w:val="a"/>
    <w:rsid w:val="008B6EC1"/>
    <w:pPr>
      <w:tabs>
        <w:tab w:val="center" w:pos="4536"/>
        <w:tab w:val="right" w:pos="9072"/>
      </w:tabs>
    </w:pPr>
  </w:style>
  <w:style w:type="table" w:styleId="a9">
    <w:name w:val="Table Grid"/>
    <w:basedOn w:val="a1"/>
    <w:rsid w:val="008B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B6E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B6EC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B6EC1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перезакреплении муниципального</vt:lpstr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перезакреплении муниципального</dc:title>
  <dc:creator>Медянцева</dc:creator>
  <cp:lastModifiedBy>iT</cp:lastModifiedBy>
  <cp:revision>2</cp:revision>
  <cp:lastPrinted>2024-05-06T11:30:00Z</cp:lastPrinted>
  <dcterms:created xsi:type="dcterms:W3CDTF">2024-05-29T04:30:00Z</dcterms:created>
  <dcterms:modified xsi:type="dcterms:W3CDTF">2024-05-29T04:30:00Z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31D1DAB76842482B8B395E94B2EA431B</vt:lpwstr>
  </property>
</Properties>
</file>