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7D" w:rsidRDefault="00F66C7D">
      <w:pPr>
        <w:pStyle w:val="a4"/>
        <w:rPr>
          <w:sz w:val="28"/>
          <w:szCs w:val="28"/>
        </w:rPr>
      </w:pPr>
    </w:p>
    <w:p w:rsidR="00F66C7D" w:rsidRDefault="00F66C7D">
      <w:pPr>
        <w:pStyle w:val="a4"/>
        <w:rPr>
          <w:sz w:val="28"/>
          <w:szCs w:val="28"/>
        </w:rPr>
      </w:pPr>
    </w:p>
    <w:p w:rsidR="00F66C7D" w:rsidRDefault="00F66C7D">
      <w:pPr>
        <w:pStyle w:val="a4"/>
        <w:rPr>
          <w:sz w:val="28"/>
          <w:szCs w:val="28"/>
        </w:rPr>
      </w:pPr>
    </w:p>
    <w:p w:rsidR="00F66C7D" w:rsidRDefault="00F66C7D">
      <w:pPr>
        <w:pStyle w:val="a4"/>
        <w:rPr>
          <w:sz w:val="28"/>
          <w:szCs w:val="28"/>
        </w:rPr>
      </w:pPr>
    </w:p>
    <w:p w:rsidR="00F66C7D" w:rsidRDefault="00F66C7D">
      <w:pPr>
        <w:pStyle w:val="a4"/>
        <w:rPr>
          <w:sz w:val="28"/>
          <w:szCs w:val="28"/>
        </w:rPr>
      </w:pPr>
    </w:p>
    <w:p w:rsidR="00F66C7D" w:rsidRDefault="00F66C7D">
      <w:pPr>
        <w:pStyle w:val="a4"/>
        <w:rPr>
          <w:sz w:val="28"/>
          <w:szCs w:val="28"/>
        </w:rPr>
      </w:pPr>
    </w:p>
    <w:p w:rsidR="00F66C7D" w:rsidRDefault="00F66C7D">
      <w:pPr>
        <w:pStyle w:val="a4"/>
        <w:rPr>
          <w:sz w:val="28"/>
          <w:szCs w:val="28"/>
        </w:rPr>
      </w:pPr>
    </w:p>
    <w:p w:rsidR="00F66C7D" w:rsidRDefault="00F66C7D">
      <w:pPr>
        <w:pStyle w:val="a4"/>
        <w:rPr>
          <w:sz w:val="28"/>
          <w:szCs w:val="28"/>
        </w:rPr>
      </w:pPr>
    </w:p>
    <w:p w:rsidR="00F66C7D" w:rsidRDefault="00F66C7D">
      <w:pPr>
        <w:pStyle w:val="a4"/>
        <w:rPr>
          <w:sz w:val="28"/>
          <w:szCs w:val="28"/>
        </w:rPr>
      </w:pPr>
    </w:p>
    <w:p w:rsidR="00F66C7D" w:rsidRDefault="00F66C7D">
      <w:pPr>
        <w:pStyle w:val="a4"/>
        <w:rPr>
          <w:sz w:val="28"/>
          <w:szCs w:val="28"/>
        </w:rPr>
      </w:pPr>
    </w:p>
    <w:p w:rsidR="00F66C7D" w:rsidRDefault="00F66C7D">
      <w:pPr>
        <w:pStyle w:val="a4"/>
        <w:rPr>
          <w:rFonts w:ascii="Times New Roman" w:hAnsi="Times New Roman"/>
          <w:sz w:val="28"/>
          <w:szCs w:val="28"/>
        </w:rPr>
      </w:pPr>
    </w:p>
    <w:p w:rsidR="00F66C7D" w:rsidRDefault="00615A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</w:t>
      </w:r>
    </w:p>
    <w:p w:rsidR="00F66C7D" w:rsidRDefault="00615A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10.12.2024 № 4840</w:t>
      </w:r>
    </w:p>
    <w:p w:rsidR="00F66C7D" w:rsidRDefault="00F66C7D">
      <w:pPr>
        <w:pStyle w:val="a4"/>
        <w:rPr>
          <w:b w:val="0"/>
          <w:sz w:val="28"/>
          <w:szCs w:val="28"/>
        </w:rPr>
      </w:pPr>
    </w:p>
    <w:p w:rsidR="00F66C7D" w:rsidRDefault="00615AB3">
      <w:pPr>
        <w:pStyle w:val="1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179 Бюджетного кодекса Российской Федерации, пунктом 13 части 1 статьи 16 Федерального закона от 06.10.2003  № 131-ФЗ «Об общих принципах организации местного самоуправления                           в Российской Федерации», частью 1 статьи 9 Федерального закона                                   от 29.12.2012 № 273-ФЗ «Об образовании в Российской Федерации»,                                    пунктом 16 части 1 статьи 7, пунктом 16 части 7 статьи 45, пунктом 10 части 2 статьи 55 Устава муниципального образования «Город Димитровград» Ульяновской области, постановлением Администрации города от 12.</w:t>
      </w:r>
      <w:r>
        <w:rPr>
          <w:szCs w:val="28"/>
          <w:lang w:val="ru-RU"/>
        </w:rPr>
        <w:t>07</w:t>
      </w:r>
      <w:r>
        <w:rPr>
          <w:szCs w:val="28"/>
        </w:rPr>
        <w:t>.2024                         № 3209</w:t>
      </w:r>
      <w:r>
        <w:rPr>
          <w:szCs w:val="28"/>
          <w:lang w:val="ru-RU"/>
        </w:rPr>
        <w:t xml:space="preserve"> </w:t>
      </w:r>
      <w:r>
        <w:rPr>
          <w:szCs w:val="28"/>
        </w:rPr>
        <w:t>«Об утверждении порядка разработки, реализации и оценки эффективности муниципальных программ на территории города Димитровграда Ульяновской области» п о с т а н о в л я ю:</w:t>
      </w:r>
    </w:p>
    <w:p w:rsidR="00F66C7D" w:rsidRDefault="00615AB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города от 10.12.2024                   № 4840 «Об утверждении муниципальной программы «Развитие и модернизация образования в городе Димитровграде Ульяновской области» (далее – постановление) следующие изменения:</w:t>
      </w:r>
    </w:p>
    <w:p w:rsidR="00F66C7D" w:rsidRDefault="00615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Раздел 2 муниципальной программы «Развитие и модернизация образования в городе Димитровграде Ульяновской области» (далее - муниципальная программа), являющейся приложением к постановлению, изложить в следующей редакции:</w:t>
      </w:r>
    </w:p>
    <w:p w:rsidR="00F66C7D" w:rsidRDefault="00615AB3">
      <w:pPr>
        <w:pStyle w:val="ConsPlusNormal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Паспорт муниципальной программы</w:t>
      </w:r>
    </w:p>
    <w:p w:rsidR="00F66C7D" w:rsidRDefault="00F66C7D">
      <w:pPr>
        <w:pStyle w:val="ConsPlusNormal0"/>
        <w:jc w:val="both"/>
        <w:rPr>
          <w:szCs w:val="24"/>
        </w:rPr>
      </w:pPr>
    </w:p>
    <w:tbl>
      <w:tblPr>
        <w:tblW w:w="949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456"/>
        <w:gridCol w:w="5037"/>
      </w:tblGrid>
      <w:tr w:rsidR="00F66C7D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 Дмитрий Дмитриевич, заместитель Главы города по социальным вопросам</w:t>
            </w:r>
          </w:p>
        </w:tc>
      </w:tr>
      <w:tr w:rsidR="00F66C7D">
        <w:trPr>
          <w:trHeight w:val="529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</w:p>
        </w:tc>
      </w:tr>
      <w:tr w:rsidR="00F66C7D">
        <w:trPr>
          <w:trHeight w:val="2446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Соисполнители муниципальной программы, участники муниципальной программы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жилищно-коммунальному комплексу Администрации города Димитровграда Ульяновской области (Муниципальное казенное учреждение «Дирекция инвестиционных и инновационных проектов»), </w:t>
            </w:r>
          </w:p>
          <w:p w:rsidR="00F66C7D" w:rsidRDefault="00615A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F66C7D" w:rsidRDefault="00615A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в отношении которых Управление образования осуществляет функции и полномочия учредителя</w:t>
            </w:r>
          </w:p>
        </w:tc>
      </w:tr>
      <w:tr w:rsidR="00F66C7D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2025-2030 годы</w:t>
            </w:r>
          </w:p>
        </w:tc>
      </w:tr>
      <w:tr w:rsidR="00F66C7D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Комплексное и эффективное развитие системы образования в городе, обеспечивающее повышение качества образования и удовлетворение потребности стратегически важных </w:t>
            </w:r>
            <w:r>
              <w:rPr>
                <w:sz w:val="28"/>
                <w:szCs w:val="28"/>
              </w:rPr>
              <w:br/>
              <w:t>отраслей в квалифицированных кадрах</w:t>
            </w:r>
          </w:p>
        </w:tc>
      </w:tr>
      <w:tr w:rsidR="00F66C7D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66C7D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-Удельный вес численности обучающихся общеобразовательных организаций, обучение которых осуществляется в соответствии с требованиями федеральных государственных образовательных стандартов, в общей численности обучающихся общеобразовательных организаций в городе;</w:t>
            </w:r>
          </w:p>
          <w:p w:rsidR="00F66C7D" w:rsidRDefault="00615AB3">
            <w:pPr>
              <w:widowControl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pacing w:val="-4"/>
                <w:sz w:val="28"/>
                <w:szCs w:val="28"/>
              </w:rPr>
              <w:t xml:space="preserve"> доступность дошкольного образования для детей в возрасте от 1,5 до 7 лет;</w:t>
            </w:r>
          </w:p>
          <w:p w:rsidR="00F66C7D" w:rsidRDefault="00615AB3">
            <w:pPr>
              <w:widowControl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обучающихся 1-4 классов муниципальных общеобразовательных организаций, обеспеченных бесплатным горячим питанием;</w:t>
            </w:r>
          </w:p>
          <w:p w:rsidR="00F66C7D" w:rsidRDefault="00615AB3">
            <w:pPr>
              <w:widowControl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зданий муниципальных образовательных организаций, в которых улучшена материально-техническая база (ежегодно);</w:t>
            </w:r>
          </w:p>
          <w:p w:rsidR="00F66C7D" w:rsidRDefault="00615AB3">
            <w:pPr>
              <w:widowControl w:val="0"/>
              <w:spacing w:line="232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количество зданий образовательных организаций, в которых проведен капитальный ремонт;</w:t>
            </w:r>
          </w:p>
          <w:p w:rsidR="00F66C7D" w:rsidRDefault="00615AB3">
            <w:pPr>
              <w:widowControl w:val="0"/>
              <w:spacing w:line="232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количество зданий муниципальных образовательных организаций, </w:t>
            </w:r>
            <w:r>
              <w:rPr>
                <w:sz w:val="28"/>
                <w:szCs w:val="28"/>
              </w:rPr>
              <w:lastRenderedPageBreak/>
              <w:t>оснащенных оборудованием, обеспечивающим антитеррористическую защищенность (ежегодно);</w:t>
            </w:r>
          </w:p>
          <w:p w:rsidR="00F66C7D" w:rsidRDefault="00615AB3">
            <w:pPr>
              <w:widowControl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детей в возрасте от 5 до 18 лет, охваченных дополнительным образованием</w:t>
            </w:r>
            <w:r w:rsidR="00224E07">
              <w:rPr>
                <w:sz w:val="28"/>
                <w:szCs w:val="28"/>
              </w:rPr>
              <w:t>;</w:t>
            </w:r>
          </w:p>
          <w:p w:rsidR="00224E07" w:rsidRDefault="00224E07">
            <w:pPr>
              <w:widowControl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224E07">
              <w:rPr>
                <w:sz w:val="28"/>
                <w:szCs w:val="28"/>
              </w:rPr>
              <w:t>оличество зданий муниципальных образовательных организаций, в которых проведено техническое обследование</w:t>
            </w:r>
          </w:p>
        </w:tc>
      </w:tr>
      <w:tr w:rsidR="00F66C7D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муниципальной программы – бюджет города Димитровграда Ульяновской области, источником финансового обеспечения которого являются ассигнования из бюджета города и ассигнования из областного бюджета Ульяновской области.</w:t>
            </w:r>
          </w:p>
          <w:p w:rsidR="00F66C7D" w:rsidRDefault="00615AB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бюджетных ассигнований бюджета города на финансовое обеспечение реализации муниципальной программы </w:t>
            </w:r>
            <w:r>
              <w:rPr>
                <w:color w:val="000000"/>
                <w:sz w:val="28"/>
                <w:szCs w:val="28"/>
              </w:rPr>
              <w:t xml:space="preserve">составляет </w:t>
            </w:r>
            <w:r w:rsidR="003C7FDA">
              <w:rPr>
                <w:b/>
                <w:bCs/>
                <w:sz w:val="28"/>
                <w:szCs w:val="28"/>
              </w:rPr>
              <w:t>15 227</w:t>
            </w:r>
            <w:r w:rsidR="00D53CE2" w:rsidRPr="00D53CE2">
              <w:rPr>
                <w:b/>
                <w:bCs/>
                <w:sz w:val="28"/>
                <w:szCs w:val="28"/>
              </w:rPr>
              <w:t> </w:t>
            </w:r>
            <w:r w:rsidR="003C7FDA">
              <w:rPr>
                <w:b/>
                <w:bCs/>
                <w:sz w:val="28"/>
                <w:szCs w:val="28"/>
              </w:rPr>
              <w:t>421</w:t>
            </w:r>
            <w:r w:rsidR="00D53CE2" w:rsidRPr="00D53CE2">
              <w:rPr>
                <w:b/>
                <w:bCs/>
                <w:sz w:val="28"/>
                <w:szCs w:val="28"/>
              </w:rPr>
              <w:t>,</w:t>
            </w:r>
            <w:r w:rsidR="003C7FDA">
              <w:rPr>
                <w:b/>
                <w:bCs/>
                <w:sz w:val="28"/>
                <w:szCs w:val="28"/>
              </w:rPr>
              <w:t xml:space="preserve">50126 </w:t>
            </w:r>
            <w:r>
              <w:rPr>
                <w:b/>
                <w:bCs/>
                <w:sz w:val="28"/>
                <w:szCs w:val="28"/>
              </w:rPr>
              <w:t>тыс. руб.</w:t>
            </w:r>
          </w:p>
          <w:p w:rsidR="00F66C7D" w:rsidRDefault="00615AB3">
            <w:pPr>
              <w:pStyle w:val="a7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</w:t>
            </w:r>
            <w:r w:rsidR="003C7FDA">
              <w:rPr>
                <w:sz w:val="28"/>
                <w:szCs w:val="28"/>
              </w:rPr>
              <w:t> 590 078,54089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руб.;</w:t>
            </w:r>
          </w:p>
          <w:p w:rsidR="00F66C7D" w:rsidRDefault="00615AB3">
            <w:pPr>
              <w:pStyle w:val="a7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</w:t>
            </w:r>
            <w:r w:rsidR="0050690C">
              <w:rPr>
                <w:sz w:val="28"/>
                <w:szCs w:val="28"/>
              </w:rPr>
              <w:t> 456</w:t>
            </w:r>
            <w:r w:rsidR="003C7FDA">
              <w:rPr>
                <w:sz w:val="28"/>
                <w:szCs w:val="28"/>
              </w:rPr>
              <w:t> 533,46150</w:t>
            </w:r>
            <w:r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F66C7D" w:rsidRDefault="00615AB3">
            <w:pPr>
              <w:pStyle w:val="a7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</w:t>
            </w:r>
            <w:r w:rsidR="0050690C">
              <w:rPr>
                <w:sz w:val="28"/>
                <w:szCs w:val="28"/>
              </w:rPr>
              <w:t> 691</w:t>
            </w:r>
            <w:r w:rsidR="003C7FDA">
              <w:rPr>
                <w:sz w:val="28"/>
                <w:szCs w:val="28"/>
              </w:rPr>
              <w:t> 010,39023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F66C7D" w:rsidRDefault="00615AB3">
            <w:pPr>
              <w:pStyle w:val="a7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- 2</w:t>
            </w:r>
            <w:r w:rsidR="0050690C">
              <w:rPr>
                <w:sz w:val="28"/>
                <w:szCs w:val="28"/>
              </w:rPr>
              <w:t> 496 599,70288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F66C7D" w:rsidRDefault="00615AB3">
            <w:pPr>
              <w:pStyle w:val="a7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- </w:t>
            </w:r>
            <w:r w:rsidR="0050690C">
              <w:rPr>
                <w:sz w:val="28"/>
                <w:szCs w:val="28"/>
              </w:rPr>
              <w:t xml:space="preserve">2 496 599,70288 </w:t>
            </w:r>
            <w:r>
              <w:rPr>
                <w:sz w:val="28"/>
                <w:szCs w:val="28"/>
              </w:rPr>
              <w:t>тыс. руб.;</w:t>
            </w:r>
          </w:p>
          <w:p w:rsidR="00F66C7D" w:rsidRDefault="00615AB3">
            <w:pPr>
              <w:pStyle w:val="a7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- </w:t>
            </w:r>
            <w:r w:rsidR="0050690C">
              <w:rPr>
                <w:sz w:val="28"/>
                <w:szCs w:val="28"/>
              </w:rPr>
              <w:t xml:space="preserve">2 496 599,70288 </w:t>
            </w:r>
            <w:r>
              <w:rPr>
                <w:sz w:val="28"/>
                <w:szCs w:val="28"/>
              </w:rPr>
              <w:t>тыс. руб.</w:t>
            </w:r>
          </w:p>
          <w:p w:rsidR="00F66C7D" w:rsidRDefault="00F66C7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66C7D" w:rsidRDefault="00615A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бюджетных ассигнований из бюджета города </w:t>
            </w:r>
            <w:r w:rsidRPr="00D53CE2">
              <w:rPr>
                <w:sz w:val="28"/>
                <w:szCs w:val="28"/>
              </w:rPr>
              <w:t xml:space="preserve">– </w:t>
            </w:r>
            <w:r w:rsidRPr="00D53CE2">
              <w:rPr>
                <w:b/>
                <w:bCs/>
                <w:sz w:val="28"/>
                <w:szCs w:val="28"/>
              </w:rPr>
              <w:t>2</w:t>
            </w:r>
            <w:r w:rsidR="003C7FDA">
              <w:rPr>
                <w:b/>
                <w:bCs/>
                <w:sz w:val="28"/>
                <w:szCs w:val="28"/>
              </w:rPr>
              <w:t> 951 132,25656</w:t>
            </w:r>
            <w:r w:rsidRPr="00D53C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в том числе:</w:t>
            </w:r>
          </w:p>
          <w:p w:rsidR="00F66C7D" w:rsidRDefault="00615AB3">
            <w:pPr>
              <w:pStyle w:val="a7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3C7FDA">
              <w:rPr>
                <w:color w:val="000000"/>
                <w:sz w:val="28"/>
                <w:szCs w:val="28"/>
              </w:rPr>
              <w:t>487 840,69141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F66C7D" w:rsidRDefault="00615AB3">
            <w:pPr>
              <w:pStyle w:val="a7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3C7FDA">
              <w:rPr>
                <w:color w:val="000000"/>
                <w:sz w:val="28"/>
                <w:szCs w:val="28"/>
              </w:rPr>
              <w:t>468 224,88706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F66C7D" w:rsidRDefault="00615AB3">
            <w:pPr>
              <w:widowControl w:val="0"/>
              <w:tabs>
                <w:tab w:val="center" w:pos="2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3C7FDA">
              <w:rPr>
                <w:color w:val="000000"/>
                <w:sz w:val="28"/>
                <w:szCs w:val="28"/>
                <w:lang w:eastAsia="en-US"/>
              </w:rPr>
              <w:t xml:space="preserve">500 224,74945 </w:t>
            </w:r>
            <w:r>
              <w:rPr>
                <w:sz w:val="28"/>
                <w:szCs w:val="28"/>
              </w:rPr>
              <w:t>тыс. руб.;</w:t>
            </w:r>
          </w:p>
          <w:p w:rsidR="00F66C7D" w:rsidRDefault="00615AB3">
            <w:pPr>
              <w:widowControl w:val="0"/>
              <w:tabs>
                <w:tab w:val="center" w:pos="2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- </w:t>
            </w:r>
            <w:r w:rsidR="0050690C">
              <w:rPr>
                <w:color w:val="000000"/>
                <w:sz w:val="28"/>
                <w:szCs w:val="28"/>
                <w:lang w:eastAsia="en-US"/>
              </w:rPr>
              <w:t>498 2</w:t>
            </w:r>
            <w:r w:rsidR="003C7FDA">
              <w:rPr>
                <w:color w:val="000000"/>
                <w:sz w:val="28"/>
                <w:szCs w:val="28"/>
                <w:lang w:eastAsia="en-US"/>
              </w:rPr>
              <w:t>80,64288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F66C7D" w:rsidRDefault="00615AB3">
            <w:pPr>
              <w:widowControl w:val="0"/>
              <w:tabs>
                <w:tab w:val="center" w:pos="2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- </w:t>
            </w:r>
            <w:r w:rsidR="0050690C">
              <w:rPr>
                <w:color w:val="000000"/>
                <w:sz w:val="28"/>
                <w:szCs w:val="28"/>
                <w:lang w:eastAsia="en-US"/>
              </w:rPr>
              <w:t>498 2</w:t>
            </w:r>
            <w:r w:rsidR="003C7FDA">
              <w:rPr>
                <w:color w:val="000000"/>
                <w:sz w:val="28"/>
                <w:szCs w:val="28"/>
                <w:lang w:eastAsia="en-US"/>
              </w:rPr>
              <w:t xml:space="preserve">80,64288 </w:t>
            </w:r>
            <w:r>
              <w:rPr>
                <w:sz w:val="28"/>
                <w:szCs w:val="28"/>
              </w:rPr>
              <w:t>тыс. руб.;</w:t>
            </w:r>
          </w:p>
          <w:p w:rsidR="00F66C7D" w:rsidRDefault="00615AB3">
            <w:pPr>
              <w:widowControl w:val="0"/>
              <w:tabs>
                <w:tab w:val="center" w:pos="2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- </w:t>
            </w:r>
            <w:r w:rsidR="0050690C">
              <w:rPr>
                <w:color w:val="000000"/>
                <w:sz w:val="28"/>
                <w:szCs w:val="28"/>
                <w:lang w:eastAsia="en-US"/>
              </w:rPr>
              <w:t>498 2</w:t>
            </w:r>
            <w:r w:rsidR="003C7FDA">
              <w:rPr>
                <w:color w:val="000000"/>
                <w:sz w:val="28"/>
                <w:szCs w:val="28"/>
                <w:lang w:eastAsia="en-US"/>
              </w:rPr>
              <w:t xml:space="preserve">80,64288 </w:t>
            </w:r>
            <w:r>
              <w:rPr>
                <w:sz w:val="28"/>
                <w:szCs w:val="28"/>
              </w:rPr>
              <w:t>тыс. руб.</w:t>
            </w:r>
          </w:p>
          <w:p w:rsidR="00F66C7D" w:rsidRDefault="00615A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бюджетных ассигнований из областного бюджета Ульяновской области – </w:t>
            </w:r>
            <w:r w:rsidR="00D53CE2" w:rsidRPr="00D53CE2">
              <w:rPr>
                <w:b/>
                <w:bCs/>
                <w:sz w:val="28"/>
                <w:szCs w:val="28"/>
              </w:rPr>
              <w:t>12</w:t>
            </w:r>
            <w:r w:rsidR="003C7FDA">
              <w:rPr>
                <w:b/>
                <w:bCs/>
                <w:sz w:val="28"/>
                <w:szCs w:val="28"/>
              </w:rPr>
              <w:t xml:space="preserve"> 276 289,24470 </w:t>
            </w:r>
            <w:r>
              <w:rPr>
                <w:sz w:val="28"/>
                <w:szCs w:val="28"/>
              </w:rPr>
              <w:t xml:space="preserve">тыс. руб., в том числе: </w:t>
            </w:r>
          </w:p>
          <w:p w:rsidR="00F66C7D" w:rsidRDefault="00615AB3">
            <w:pPr>
              <w:pStyle w:val="a7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</w:t>
            </w:r>
            <w:r w:rsidR="0050690C">
              <w:rPr>
                <w:sz w:val="28"/>
                <w:szCs w:val="28"/>
              </w:rPr>
              <w:t> 102 237,84948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F66C7D" w:rsidRDefault="00615AB3">
            <w:pPr>
              <w:pStyle w:val="a7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</w:t>
            </w:r>
            <w:r>
              <w:rPr>
                <w:color w:val="000000"/>
                <w:sz w:val="28"/>
                <w:szCs w:val="28"/>
              </w:rPr>
              <w:t>1</w:t>
            </w:r>
            <w:r w:rsidR="0050690C">
              <w:rPr>
                <w:color w:val="000000"/>
                <w:sz w:val="28"/>
                <w:szCs w:val="28"/>
              </w:rPr>
              <w:t> 988</w:t>
            </w:r>
            <w:r w:rsidR="003C7FDA">
              <w:rPr>
                <w:color w:val="000000"/>
                <w:sz w:val="28"/>
                <w:szCs w:val="28"/>
              </w:rPr>
              <w:t> 308,57444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F66C7D" w:rsidRDefault="00615AB3">
            <w:pPr>
              <w:widowControl w:val="0"/>
              <w:tabs>
                <w:tab w:val="center" w:pos="2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2027 год </w:t>
            </w:r>
            <w:r w:rsidR="0050690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C7FDA">
              <w:rPr>
                <w:color w:val="000000"/>
                <w:sz w:val="28"/>
                <w:szCs w:val="28"/>
              </w:rPr>
              <w:t>2 190 785,64078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F66C7D" w:rsidRDefault="00615AB3">
            <w:pPr>
              <w:widowControl w:val="0"/>
              <w:tabs>
                <w:tab w:val="center" w:pos="2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- </w:t>
            </w:r>
            <w:r>
              <w:rPr>
                <w:color w:val="000000"/>
                <w:sz w:val="28"/>
                <w:szCs w:val="28"/>
              </w:rPr>
              <w:t>1</w:t>
            </w:r>
            <w:r w:rsidR="0050690C">
              <w:rPr>
                <w:color w:val="000000"/>
                <w:sz w:val="28"/>
                <w:szCs w:val="28"/>
              </w:rPr>
              <w:t xml:space="preserve"> 998 319,06000 </w:t>
            </w:r>
            <w:r>
              <w:rPr>
                <w:sz w:val="28"/>
                <w:szCs w:val="28"/>
              </w:rPr>
              <w:t>тыс. руб.;</w:t>
            </w:r>
          </w:p>
          <w:p w:rsidR="00F66C7D" w:rsidRDefault="00615AB3">
            <w:pPr>
              <w:widowControl w:val="0"/>
              <w:tabs>
                <w:tab w:val="center" w:pos="2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- </w:t>
            </w:r>
            <w:r w:rsidR="0050690C">
              <w:rPr>
                <w:color w:val="000000"/>
                <w:sz w:val="28"/>
                <w:szCs w:val="28"/>
              </w:rPr>
              <w:t xml:space="preserve">1 998 319,06000 </w:t>
            </w:r>
            <w:r>
              <w:rPr>
                <w:sz w:val="28"/>
                <w:szCs w:val="28"/>
              </w:rPr>
              <w:t xml:space="preserve">тыс. руб.; </w:t>
            </w:r>
          </w:p>
          <w:p w:rsidR="00F66C7D" w:rsidRDefault="00615AB3">
            <w:pPr>
              <w:widowControl w:val="0"/>
              <w:tabs>
                <w:tab w:val="center" w:pos="2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- </w:t>
            </w:r>
            <w:r w:rsidR="0050690C">
              <w:rPr>
                <w:color w:val="000000"/>
                <w:sz w:val="28"/>
                <w:szCs w:val="28"/>
              </w:rPr>
              <w:t xml:space="preserve">1 998 319,06000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F66C7D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связана                                       с государственной программой Ульяновской области «Развитие и модернизация образования в Ульяновской области»</w:t>
            </w:r>
          </w:p>
        </w:tc>
      </w:tr>
      <w:tr w:rsidR="00F66C7D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капитального строительства, подлежащих созданию (приобретению), реконструкции и капитальному ремонту в ходе реализации муниципальной программы (при наличии)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47 «</w:t>
            </w:r>
            <w:proofErr w:type="spellStart"/>
            <w:r>
              <w:rPr>
                <w:sz w:val="28"/>
                <w:szCs w:val="28"/>
              </w:rPr>
              <w:t>Веселинка</w:t>
            </w:r>
            <w:proofErr w:type="spellEnd"/>
            <w:r>
              <w:rPr>
                <w:sz w:val="28"/>
                <w:szCs w:val="28"/>
              </w:rPr>
              <w:t xml:space="preserve">» (ул. </w:t>
            </w:r>
            <w:proofErr w:type="spellStart"/>
            <w:r>
              <w:rPr>
                <w:sz w:val="28"/>
                <w:szCs w:val="28"/>
              </w:rPr>
              <w:t>Дрогобычская</w:t>
            </w:r>
            <w:proofErr w:type="spellEnd"/>
            <w:r>
              <w:rPr>
                <w:sz w:val="28"/>
                <w:szCs w:val="28"/>
              </w:rPr>
              <w:t>, 45);</w:t>
            </w:r>
          </w:p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48 (пр. Ленина, 48 б);</w:t>
            </w:r>
          </w:p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53 (</w:t>
            </w:r>
            <w:proofErr w:type="gramStart"/>
            <w:r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Интернационала</w:t>
            </w:r>
            <w:proofErr w:type="gramEnd"/>
            <w:r>
              <w:rPr>
                <w:sz w:val="28"/>
                <w:szCs w:val="28"/>
              </w:rPr>
              <w:t>, 101);</w:t>
            </w:r>
          </w:p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«Средняя школа № </w:t>
            </w:r>
            <w:proofErr w:type="gramStart"/>
            <w:r>
              <w:rPr>
                <w:sz w:val="28"/>
                <w:szCs w:val="28"/>
              </w:rPr>
              <w:t>23  имени</w:t>
            </w:r>
            <w:proofErr w:type="gramEnd"/>
            <w:r>
              <w:rPr>
                <w:sz w:val="28"/>
                <w:szCs w:val="28"/>
              </w:rPr>
              <w:t xml:space="preserve"> Петра Андреевича Акинфиева города Димитровграда Ульяновской о</w:t>
            </w:r>
            <w:r w:rsidR="00F35A16">
              <w:rPr>
                <w:sz w:val="28"/>
                <w:szCs w:val="28"/>
              </w:rPr>
              <w:t>бласти» (</w:t>
            </w:r>
            <w:proofErr w:type="spellStart"/>
            <w:r w:rsidR="00F35A16">
              <w:rPr>
                <w:sz w:val="28"/>
                <w:szCs w:val="28"/>
              </w:rPr>
              <w:t>ул.Гончарова</w:t>
            </w:r>
            <w:proofErr w:type="spellEnd"/>
            <w:r w:rsidR="00F35A16">
              <w:rPr>
                <w:sz w:val="28"/>
                <w:szCs w:val="28"/>
              </w:rPr>
              <w:t>, д.8</w:t>
            </w:r>
            <w:r>
              <w:rPr>
                <w:sz w:val="28"/>
                <w:szCs w:val="28"/>
              </w:rPr>
              <w:t>)</w:t>
            </w:r>
          </w:p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«Городская гимназия города Димитровграда Ульяновской области» (</w:t>
            </w:r>
            <w:proofErr w:type="spellStart"/>
            <w:r>
              <w:rPr>
                <w:sz w:val="28"/>
                <w:szCs w:val="28"/>
              </w:rPr>
              <w:t>ул.Славского</w:t>
            </w:r>
            <w:proofErr w:type="spellEnd"/>
            <w:r>
              <w:rPr>
                <w:sz w:val="28"/>
                <w:szCs w:val="28"/>
              </w:rPr>
              <w:t>, д.11)</w:t>
            </w:r>
          </w:p>
        </w:tc>
      </w:tr>
      <w:tr w:rsidR="00F66C7D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предполагаемых результатов 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:rsidR="00F66C7D" w:rsidRDefault="00615AB3">
      <w:pPr>
        <w:tabs>
          <w:tab w:val="left" w:pos="851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F66C7D" w:rsidRDefault="00615AB3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1.2.Приложение № 1 к муниципальной программе изложить в редакции согласно приложению № 1 к настоящему постановлению.</w:t>
      </w:r>
    </w:p>
    <w:p w:rsidR="00F66C7D" w:rsidRDefault="00615AB3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1.3.Приложение № 2 к муниципальной программе изложить в редакции согласно приложению № 2 к настоящему постановлению.</w:t>
      </w:r>
    </w:p>
    <w:p w:rsidR="00F66C7D" w:rsidRDefault="00615AB3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1.4. Приложение №3 к муниципальной программе изложить в редакции согласно приложению № 3 к настоящему постановлению.</w:t>
      </w:r>
    </w:p>
    <w:p w:rsidR="00F66C7D" w:rsidRDefault="00615AB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F66C7D" w:rsidRDefault="00615AB3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3.Контроль за исполнением настоящего постановления возложить                               на заместителя Главы города по социальным вопросам Трофимова Д.Д.</w:t>
      </w:r>
    </w:p>
    <w:p w:rsidR="00F66C7D" w:rsidRDefault="00F66C7D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66C7D" w:rsidRDefault="00F66C7D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66C7D" w:rsidRDefault="00615AB3">
      <w:pPr>
        <w:rPr>
          <w:sz w:val="28"/>
          <w:szCs w:val="28"/>
        </w:rPr>
        <w:sectPr w:rsidR="00F66C7D">
          <w:pgSz w:w="11906" w:h="16838"/>
          <w:pgMar w:top="1134" w:right="850" w:bottom="426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Глава города                                                                                   </w:t>
      </w:r>
      <w:proofErr w:type="spellStart"/>
      <w:r>
        <w:rPr>
          <w:sz w:val="28"/>
          <w:szCs w:val="28"/>
        </w:rPr>
        <w:t>С.А.Сандрюков</w:t>
      </w:r>
      <w:proofErr w:type="spellEnd"/>
      <w:r>
        <w:rPr>
          <w:sz w:val="28"/>
          <w:szCs w:val="28"/>
        </w:rPr>
        <w:t xml:space="preserve">                                            </w:t>
      </w: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lastRenderedPageBreak/>
        <w:t>ПРИЛОЖЕНИЕ №1</w:t>
      </w: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к постановлению Администрации города</w:t>
      </w: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от __________ №_______</w:t>
      </w: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«ПРИЛОЖЕНИЕ №1</w:t>
      </w:r>
    </w:p>
    <w:p w:rsidR="00F66C7D" w:rsidRDefault="00615AB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:rsidR="00F66C7D" w:rsidRDefault="00F66C7D">
      <w:pPr>
        <w:ind w:left="10206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Default="00615AB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ПЕРЕЧЕНЬ ПОКАЗАТЕЛЕЙ</w:t>
      </w:r>
    </w:p>
    <w:p w:rsidR="00F66C7D" w:rsidRDefault="00615AB3">
      <w:pPr>
        <w:jc w:val="center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муниципальной программы </w:t>
      </w:r>
    </w:p>
    <w:p w:rsidR="00F66C7D" w:rsidRDefault="00615AB3"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>
        <w:rPr>
          <w:sz w:val="28"/>
          <w:szCs w:val="28"/>
        </w:rPr>
        <w:t>Развитие и модернизация образования в городе Димитровграде Ульяновской области</w:t>
      </w:r>
      <w:r>
        <w:rPr>
          <w:rFonts w:eastAsiaTheme="minorHAnsi"/>
          <w:bCs/>
          <w:sz w:val="28"/>
          <w:szCs w:val="28"/>
          <w:lang w:eastAsia="en-US"/>
        </w:rPr>
        <w:t>»</w:t>
      </w:r>
    </w:p>
    <w:p w:rsidR="00F66C7D" w:rsidRDefault="00F66C7D">
      <w:pPr>
        <w:tabs>
          <w:tab w:val="left" w:pos="142"/>
          <w:tab w:val="left" w:pos="851"/>
        </w:tabs>
        <w:jc w:val="center"/>
        <w:rPr>
          <w:b/>
          <w:sz w:val="20"/>
        </w:rPr>
      </w:pPr>
    </w:p>
    <w:tbl>
      <w:tblPr>
        <w:tblW w:w="1477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0"/>
        <w:gridCol w:w="3014"/>
        <w:gridCol w:w="1133"/>
        <w:gridCol w:w="709"/>
        <w:gridCol w:w="851"/>
        <w:gridCol w:w="851"/>
        <w:gridCol w:w="851"/>
        <w:gridCol w:w="849"/>
        <w:gridCol w:w="709"/>
        <w:gridCol w:w="709"/>
        <w:gridCol w:w="709"/>
        <w:gridCol w:w="1842"/>
        <w:gridCol w:w="1985"/>
      </w:tblGrid>
      <w:tr w:rsidR="00F66C7D" w:rsidTr="00F35A16">
        <w:trPr>
          <w:trHeight w:val="37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Признак возрастания/</w:t>
            </w:r>
            <w:r>
              <w:rPr>
                <w:color w:val="000000"/>
                <w:spacing w:val="-4"/>
                <w:sz w:val="22"/>
                <w:szCs w:val="22"/>
              </w:rPr>
              <w:br/>
              <w:t>убывания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значения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Единица измерения значения показателя </w:t>
            </w:r>
            <w:r>
              <w:rPr>
                <w:spacing w:val="-4"/>
                <w:sz w:val="22"/>
                <w:szCs w:val="22"/>
              </w:rPr>
              <w:br/>
              <w:t>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Базовое значение</w:t>
            </w:r>
          </w:p>
          <w:p w:rsidR="00F66C7D" w:rsidRDefault="00F66C7D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</w:p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2023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Ответственный за достижение значений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Связь </w:t>
            </w:r>
          </w:p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 показателями</w:t>
            </w:r>
            <w:r>
              <w:rPr>
                <w:rStyle w:val="a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государственных программ Ульяновской области</w:t>
            </w:r>
          </w:p>
        </w:tc>
      </w:tr>
      <w:tr w:rsidR="00F66C7D" w:rsidTr="00F35A16">
        <w:trPr>
          <w:trHeight w:val="124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F66C7D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F66C7D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F66C7D">
            <w:pPr>
              <w:widowControl w:val="0"/>
              <w:spacing w:line="232" w:lineRule="auto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F66C7D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F66C7D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F66C7D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F66C7D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</w:t>
            </w:r>
          </w:p>
        </w:tc>
      </w:tr>
      <w:tr w:rsidR="00F66C7D" w:rsidTr="00F35A16">
        <w:trPr>
          <w:trHeight w:val="371"/>
        </w:trPr>
        <w:tc>
          <w:tcPr>
            <w:tcW w:w="147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Комплексное и эффективное развитие системы образования в городе Димитровграде Ульяновской области, обеспечивающее повышение качества образования и удовлетворение потребности стратегически важных отраслей в квалифицированных кадрах муниципальной программы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</w:rPr>
              <w:t>Развитие и модернизация образования в городе Димитровграде Ульяновской области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общеобразовательных организаций, обучение которых осуществляется в соответствии с требованиями федеральных государственных образовательных стандартов, </w:t>
            </w:r>
            <w:r>
              <w:rPr>
                <w:sz w:val="22"/>
                <w:szCs w:val="22"/>
              </w:rPr>
              <w:lastRenderedPageBreak/>
              <w:t>в общей численности обучающихся общеобразовательных организаций в городе Димитровграде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lastRenderedPageBreak/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Доступность дошкольного образования для детей в возрасте от 1,5 до 7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обучающихся 1-4 классов муниципальных общеобразовательных организаций, обеспеченных бесплатным горячим питанием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Не менее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зданий муниципальных образовательных организаций, в которых улучшена материально-техническая база (ежегодно)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8A0DE3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зданий образовательных организаций, в которых проведен капитальный ремонт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8A0DE3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8A0DE3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Управления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зданий </w:t>
            </w:r>
            <w:r>
              <w:rPr>
                <w:sz w:val="22"/>
                <w:szCs w:val="22"/>
              </w:rPr>
              <w:lastRenderedPageBreak/>
              <w:t>муниципальных образовательных организаций, оснащенных оборудованием, обеспечивающим антитеррористическую защищенность (ежегодно)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Повышат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a7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lastRenderedPageBreak/>
              <w:t xml:space="preserve">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Государственная </w:t>
            </w:r>
            <w:r>
              <w:rPr>
                <w:sz w:val="22"/>
                <w:szCs w:val="22"/>
              </w:rPr>
              <w:lastRenderedPageBreak/>
              <w:t>программа Ульяновской области «Развитие и модернизация образования в Ульяновской области»</w:t>
            </w: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35A16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16" w:rsidRPr="000C5EA0" w:rsidRDefault="00F35A16" w:rsidP="00F35A16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8.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F35A16" w:rsidP="00F35A16">
            <w:pPr>
              <w:pStyle w:val="ConsPlusNormal0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проведено техническое обследование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F35A16" w:rsidP="00F35A16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</w:rPr>
            </w:pPr>
            <w:r w:rsidRPr="000C5EA0">
              <w:rPr>
                <w:color w:val="000000" w:themeColor="text1"/>
                <w:sz w:val="22"/>
                <w:szCs w:val="22"/>
              </w:rPr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F35A16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F35A16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F35A16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8A0DE3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8A0DE3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8A0DE3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8A0DE3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8A0DE3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16" w:rsidRPr="000C5EA0" w:rsidRDefault="00F35A16" w:rsidP="00F35A16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5A16" w:rsidRPr="000C5EA0" w:rsidRDefault="00F35A16" w:rsidP="00F35A16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</w:tbl>
    <w:p w:rsidR="00F66C7D" w:rsidRDefault="00F66C7D">
      <w:pPr>
        <w:jc w:val="both"/>
        <w:rPr>
          <w:rFonts w:eastAsiaTheme="minorHAnsi"/>
          <w:sz w:val="20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B72447" w:rsidRDefault="00B72447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lastRenderedPageBreak/>
        <w:t>ПРИЛОЖ</w:t>
      </w:r>
      <w:bookmarkStart w:id="0" w:name="_GoBack"/>
      <w:bookmarkEnd w:id="0"/>
      <w:r>
        <w:rPr>
          <w:rFonts w:eastAsiaTheme="minorHAnsi"/>
          <w:bCs/>
          <w:sz w:val="22"/>
          <w:szCs w:val="22"/>
          <w:lang w:eastAsia="en-US"/>
        </w:rPr>
        <w:t>ЕНИЕ №2</w:t>
      </w: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к постановлению Администрации города</w:t>
      </w: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от __________ №_______</w:t>
      </w: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«ПРИЛОЖЕНИЕ №2</w:t>
      </w:r>
    </w:p>
    <w:p w:rsidR="00F66C7D" w:rsidRDefault="00615AB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:rsidR="00F66C7D" w:rsidRDefault="00F66C7D">
      <w:pPr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pStyle w:val="ConsPlusNormal0"/>
        <w:jc w:val="center"/>
        <w:rPr>
          <w:rFonts w:cs="Calibri"/>
          <w:sz w:val="28"/>
          <w:szCs w:val="28"/>
        </w:rPr>
      </w:pPr>
    </w:p>
    <w:p w:rsidR="00F66C7D" w:rsidRDefault="00615AB3">
      <w:pPr>
        <w:pStyle w:val="ConsPlusNormal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СТРУКТУРНЫХ ЭЛЕМЕНТОВ</w:t>
      </w:r>
    </w:p>
    <w:p w:rsidR="00F66C7D" w:rsidRDefault="00615AB3">
      <w:pPr>
        <w:pStyle w:val="ConsPlusNormal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F66C7D" w:rsidRDefault="00615AB3">
      <w:pPr>
        <w:pStyle w:val="ConsPlusNormal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и модернизация образования в городе Димитровграде Ульяновской области»</w:t>
      </w:r>
    </w:p>
    <w:p w:rsidR="00F66C7D" w:rsidRDefault="00F66C7D">
      <w:pPr>
        <w:pStyle w:val="ConsPlusNormal0"/>
        <w:jc w:val="both"/>
        <w:rPr>
          <w:rFonts w:cs="Calibri"/>
          <w:sz w:val="28"/>
          <w:szCs w:val="28"/>
        </w:rPr>
      </w:pPr>
    </w:p>
    <w:tbl>
      <w:tblPr>
        <w:tblpPr w:leftFromText="180" w:rightFromText="180" w:vertAnchor="text" w:tblpX="-60" w:tblpY="1"/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"/>
        <w:gridCol w:w="3482"/>
        <w:gridCol w:w="12"/>
        <w:gridCol w:w="5508"/>
        <w:gridCol w:w="10"/>
        <w:gridCol w:w="19"/>
        <w:gridCol w:w="4658"/>
      </w:tblGrid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pStyle w:val="ConsPlusNormal0"/>
              <w:jc w:val="center"/>
              <w:rPr>
                <w:rFonts w:cs="Calibri"/>
                <w:sz w:val="20"/>
                <w:vertAlign w:val="superscript"/>
              </w:rPr>
            </w:pPr>
            <w:r>
              <w:rPr>
                <w:sz w:val="20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pStyle w:val="ConsPlusNormal0"/>
              <w:jc w:val="center"/>
              <w:rPr>
                <w:rFonts w:cs="Calibri"/>
                <w:sz w:val="20"/>
                <w:vertAlign w:val="superscript"/>
              </w:rPr>
            </w:pPr>
            <w:r>
              <w:rPr>
                <w:sz w:val="20"/>
              </w:rPr>
              <w:t>Связь структурного элемента с показателями муниципальной программы</w:t>
            </w:r>
          </w:p>
        </w:tc>
      </w:tr>
      <w:tr w:rsidR="00F66C7D" w:rsidTr="002E1E2F">
        <w:trPr>
          <w:trHeight w:val="23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66C7D" w:rsidTr="002E1E2F">
        <w:tc>
          <w:tcPr>
            <w:tcW w:w="1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Структурные элементы, не входящие в направления (подпрограммы)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F66C7D" w:rsidRDefault="00F66C7D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widowControl w:val="0"/>
              <w:jc w:val="both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Региональный проект «</w:t>
            </w:r>
            <w:r w:rsidR="00B72447">
              <w:rPr>
                <w:b/>
                <w:bCs/>
                <w:color w:val="000000" w:themeColor="text1"/>
                <w:spacing w:val="-4"/>
                <w:sz w:val="20"/>
              </w:rPr>
              <w:t>Педагоги и наставники</w:t>
            </w:r>
            <w:r>
              <w:rPr>
                <w:b/>
                <w:bCs/>
                <w:color w:val="000000" w:themeColor="text1"/>
                <w:sz w:val="20"/>
              </w:rPr>
              <w:t>»</w:t>
            </w:r>
          </w:p>
          <w:p w:rsidR="00F66C7D" w:rsidRDefault="00615AB3">
            <w:pPr>
              <w:pStyle w:val="ConsPlusNormal0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F66C7D" w:rsidTr="002E1E2F">
        <w:trPr>
          <w:trHeight w:val="205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F66C7D">
            <w:pPr>
              <w:pStyle w:val="ConsPlusNormal0"/>
              <w:jc w:val="center"/>
              <w:rPr>
                <w:sz w:val="20"/>
              </w:rPr>
            </w:pPr>
          </w:p>
          <w:p w:rsidR="00F66C7D" w:rsidRDefault="00F66C7D">
            <w:pPr>
              <w:pStyle w:val="ConsPlusNormal0"/>
              <w:jc w:val="center"/>
              <w:rPr>
                <w:sz w:val="20"/>
              </w:rPr>
            </w:pPr>
          </w:p>
          <w:p w:rsidR="00F66C7D" w:rsidRDefault="00F66C7D">
            <w:pPr>
              <w:pStyle w:val="ConsPlusNormal0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Ответственный: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tabs>
                <w:tab w:val="center" w:pos="235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Управление образования</w:t>
            </w:r>
          </w:p>
        </w:tc>
      </w:tr>
      <w:tr w:rsidR="00F66C7D" w:rsidTr="002E1E2F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F66C7D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Срок реализации проекта: 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color w:val="000000" w:themeColor="text1"/>
                <w:spacing w:val="-4"/>
                <w:sz w:val="20"/>
              </w:rPr>
            </w:pPr>
            <w:r>
              <w:rPr>
                <w:color w:val="000000" w:themeColor="text1"/>
                <w:spacing w:val="-4"/>
                <w:sz w:val="20"/>
              </w:rPr>
              <w:t>Задача 1: Обеспечение функционирования системы патриотического воспитания граждан Российской Федерации</w:t>
            </w:r>
          </w:p>
          <w:p w:rsidR="00F66C7D" w:rsidRDefault="00F66C7D">
            <w:pPr>
              <w:pStyle w:val="ConsPlusNormal0"/>
              <w:rPr>
                <w:color w:val="000000" w:themeColor="text1"/>
                <w:spacing w:val="-4"/>
                <w:sz w:val="20"/>
              </w:rPr>
            </w:pPr>
          </w:p>
          <w:p w:rsidR="00F66C7D" w:rsidRDefault="00F66C7D">
            <w:pPr>
              <w:pStyle w:val="ConsPlusNormal0"/>
              <w:rPr>
                <w:color w:val="000000" w:themeColor="text1"/>
                <w:sz w:val="20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Обеспечено участие детей в региональных, окружных и иных мероприятиях и проектах, направленных на гражданско-патриотическое воспитание граждан Российской Федерации с охватом в городе не менее 10 тыс. человек. </w:t>
            </w:r>
          </w:p>
          <w:p w:rsidR="00F66C7D" w:rsidRDefault="00615AB3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</w:rPr>
              <w:t xml:space="preserve">Обеспечены разработка и внедрение рабочих программ воспитания обучающихся во всех муниципальных общеобразовательных организациях, проведение межрегиональных мероприятий патриотической направленности с участием детей, увеличение численности детей, вовлеченных в деятельность ВВПОД «ЮНАРМИЯ», увеличение численности детей, вовлеченных в социально активную деятельность через увеличение охвата </w:t>
            </w:r>
            <w:r>
              <w:rPr>
                <w:color w:val="000000" w:themeColor="text1"/>
                <w:sz w:val="20"/>
              </w:rPr>
              <w:lastRenderedPageBreak/>
              <w:t>патриотическими проектами, увеличение численности детей, вовлеченных в деятельность Общероссийского общественно-государственного движения детей и молодежи «Движение Первых», поддержки общественных инициатив и проектов, направленных на гражданское и патриотическое воспитание детей.</w:t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</w:rPr>
              <w:lastRenderedPageBreak/>
              <w:t>-Доля детей в возрасте от 5 до 18 лет, охваченных дополнительным образованием</w:t>
            </w: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</w:tc>
      </w:tr>
      <w:tr w:rsidR="00B72447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47" w:rsidRDefault="00B72447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47" w:rsidRDefault="00B72447">
            <w:pPr>
              <w:pStyle w:val="ConsPlusNormal0"/>
              <w:rPr>
                <w:color w:val="000000" w:themeColor="text1"/>
                <w:spacing w:val="-4"/>
                <w:sz w:val="20"/>
              </w:rPr>
            </w:pPr>
            <w:r>
              <w:rPr>
                <w:color w:val="000000" w:themeColor="text1"/>
                <w:spacing w:val="-4"/>
                <w:sz w:val="20"/>
              </w:rPr>
              <w:t xml:space="preserve">Задача 2: </w:t>
            </w:r>
            <w:r w:rsidRPr="00B72447">
              <w:rPr>
                <w:rFonts w:eastAsia="Calibri"/>
                <w:iCs/>
                <w:color w:val="000000"/>
                <w:sz w:val="20"/>
              </w:rPr>
              <w:t>Сократить количество вакантных должностей в образовательных организациях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47" w:rsidRPr="002E1E2F" w:rsidRDefault="002E1E2F">
            <w:pPr>
              <w:pStyle w:val="ConsPlusNormal0"/>
              <w:jc w:val="both"/>
              <w:rPr>
                <w:color w:val="000000" w:themeColor="text1"/>
                <w:sz w:val="20"/>
              </w:rPr>
            </w:pPr>
            <w:r w:rsidRPr="002E1E2F">
              <w:rPr>
                <w:sz w:val="20"/>
              </w:rPr>
              <w:t>Обеспечены выплаты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общего, образовательные программы среднего общего образования</w:t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47" w:rsidRDefault="002E1E2F" w:rsidP="002E1E2F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widowControl w:val="0"/>
              <w:jc w:val="both"/>
              <w:rPr>
                <w:b/>
                <w:bCs/>
                <w:color w:val="000000" w:themeColor="text1"/>
                <w:spacing w:val="-4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Региональный проект «</w:t>
            </w:r>
            <w:r w:rsidR="002E1E2F">
              <w:rPr>
                <w:b/>
                <w:bCs/>
                <w:color w:val="000000" w:themeColor="text1"/>
                <w:spacing w:val="-4"/>
                <w:sz w:val="20"/>
              </w:rPr>
              <w:t>Всё лучшее детям</w:t>
            </w:r>
            <w:r>
              <w:rPr>
                <w:b/>
                <w:bCs/>
                <w:color w:val="000000" w:themeColor="text1"/>
                <w:spacing w:val="-4"/>
                <w:sz w:val="20"/>
              </w:rPr>
              <w:t>»</w:t>
            </w:r>
          </w:p>
          <w:p w:rsidR="00F66C7D" w:rsidRDefault="00615AB3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color w:val="000000" w:themeColor="text1"/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F66C7D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Ответственный: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tabs>
                <w:tab w:val="center" w:pos="235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Управление образования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F66C7D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Срок реализации проекта: 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color w:val="000000" w:themeColor="text1"/>
                <w:spacing w:val="-4"/>
                <w:sz w:val="20"/>
              </w:rPr>
            </w:pPr>
            <w:r>
              <w:rPr>
                <w:color w:val="000000" w:themeColor="text1"/>
                <w:spacing w:val="-4"/>
                <w:sz w:val="20"/>
              </w:rPr>
              <w:t xml:space="preserve">Задача 1: </w:t>
            </w:r>
            <w:r>
              <w:rPr>
                <w:sz w:val="20"/>
              </w:rPr>
              <w:t>Организация, подготовка и проведение капитального ремонта и оснащение оборудованием объектов в образовательных организациях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</w:rPr>
              <w:t>Реализованы мероприятия по модернизации школьных систем образования (капитальный ремонт и оснащение оборудованием объектов)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>
              <w:rPr>
                <w:rFonts w:cs="Calibri"/>
                <w:color w:val="000000" w:themeColor="text1"/>
                <w:sz w:val="20"/>
              </w:rPr>
              <w:t>-</w:t>
            </w:r>
            <w:r>
              <w:rPr>
                <w:color w:val="000000" w:themeColor="text1"/>
                <w:sz w:val="20"/>
              </w:rPr>
              <w:t>Количество зданий образовательных организаций, в которых проведен капитальный ремонт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widowControl w:val="0"/>
              <w:jc w:val="both"/>
              <w:rPr>
                <w:b/>
                <w:bCs/>
                <w:color w:val="000000" w:themeColor="text1"/>
                <w:spacing w:val="-4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Региональный приоритетный проект «Поддержка местных инициатив на территории Ульяновской области</w:t>
            </w:r>
            <w:r>
              <w:rPr>
                <w:b/>
                <w:bCs/>
                <w:color w:val="000000" w:themeColor="text1"/>
                <w:spacing w:val="-4"/>
                <w:sz w:val="20"/>
              </w:rPr>
              <w:t>»</w:t>
            </w:r>
          </w:p>
          <w:p w:rsidR="00F66C7D" w:rsidRDefault="00615AB3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F66C7D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Ответственный: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tabs>
                <w:tab w:val="center" w:pos="235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Управление образования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F66C7D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Срок реализации проекта: 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color w:val="000000" w:themeColor="text1"/>
                <w:spacing w:val="-4"/>
                <w:sz w:val="20"/>
              </w:rPr>
            </w:pPr>
            <w:r>
              <w:rPr>
                <w:color w:val="000000" w:themeColor="text1"/>
                <w:spacing w:val="-4"/>
                <w:sz w:val="20"/>
              </w:rPr>
              <w:t>Задача 1:</w:t>
            </w:r>
            <w:r>
              <w:rPr>
                <w:sz w:val="20"/>
              </w:rPr>
              <w:t xml:space="preserve"> Организация, подготовка и проведение ремонтных работ в образовательных организациях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</w:rPr>
              <w:t>Реализованы мероприятия по ремонту теневых навесов образовательных организаций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>
              <w:rPr>
                <w:rFonts w:cs="Calibri"/>
                <w:color w:val="000000" w:themeColor="text1"/>
                <w:sz w:val="20"/>
              </w:rPr>
              <w:t>-</w:t>
            </w:r>
            <w:r>
              <w:rPr>
                <w:sz w:val="20"/>
              </w:rPr>
              <w:t>Количество зданий муниципальных образовательных организаций, в которых улучшена материально-техническая база (ежегодно)</w:t>
            </w:r>
          </w:p>
        </w:tc>
      </w:tr>
      <w:tr w:rsidR="002E1E2F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jc w:val="both"/>
              <w:rPr>
                <w:b/>
                <w:bCs/>
                <w:color w:val="000000" w:themeColor="text1"/>
                <w:spacing w:val="-4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Региональный проект «Поддержка семьи</w:t>
            </w:r>
            <w:r>
              <w:rPr>
                <w:b/>
                <w:bCs/>
                <w:color w:val="000000" w:themeColor="text1"/>
                <w:spacing w:val="-4"/>
                <w:sz w:val="20"/>
              </w:rPr>
              <w:t>»</w:t>
            </w:r>
          </w:p>
          <w:p w:rsidR="002E1E2F" w:rsidRDefault="002E1E2F" w:rsidP="002E1E2F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2E1E2F" w:rsidTr="00C731E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Ответственный: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tabs>
                <w:tab w:val="center" w:pos="235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Управление образования</w:t>
            </w:r>
          </w:p>
        </w:tc>
      </w:tr>
      <w:tr w:rsidR="002E1E2F" w:rsidTr="001C44F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Срок реализации проекта: 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</w:t>
            </w:r>
          </w:p>
        </w:tc>
      </w:tr>
      <w:tr w:rsidR="002E1E2F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color w:val="000000" w:themeColor="text1"/>
                <w:spacing w:val="-4"/>
                <w:sz w:val="20"/>
              </w:rPr>
            </w:pPr>
            <w:r>
              <w:rPr>
                <w:color w:val="000000" w:themeColor="text1"/>
                <w:spacing w:val="-4"/>
                <w:sz w:val="20"/>
              </w:rPr>
              <w:t xml:space="preserve">Задача 1: </w:t>
            </w:r>
            <w:r>
              <w:rPr>
                <w:sz w:val="20"/>
              </w:rPr>
              <w:t>Организация, подготовка и проведение капитального ремонта и оснащение оборудованием дошкольные образовательные организации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Реализованы мероприятия по модернизации дошкольных систем образования (капитальный ремонт и оснащение оборудованием объектов)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/>
                <w:sz w:val="20"/>
              </w:rPr>
              <w:t>-Количество зданий образовательных организаций, в которых проведен капитальный ремонт</w:t>
            </w:r>
          </w:p>
        </w:tc>
      </w:tr>
      <w:tr w:rsidR="002E1E2F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  <w:r>
              <w:rPr>
                <w:rFonts w:cs="Calibri"/>
                <w:sz w:val="20"/>
              </w:rPr>
              <w:t>5</w:t>
            </w:r>
            <w:r w:rsidR="002E1E2F">
              <w:rPr>
                <w:rFonts w:cs="Calibri"/>
                <w:sz w:val="20"/>
              </w:rPr>
              <w:t>.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Комплекс процессных мероприятий «Развитие общего образования» </w:t>
            </w:r>
            <w:r>
              <w:rPr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2E1E2F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sz w:val="20"/>
              </w:rPr>
            </w:pPr>
            <w:r>
              <w:rPr>
                <w:sz w:val="20"/>
              </w:rPr>
              <w:t>Ответственный: Управление образования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2E1E2F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  <w:r>
              <w:rPr>
                <w:sz w:val="20"/>
              </w:rPr>
              <w:t>5</w:t>
            </w:r>
            <w:r w:rsidR="002E1E2F">
              <w:rPr>
                <w:sz w:val="20"/>
              </w:rPr>
              <w:t>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Задача 1: Обеспечить обучение и воспитание детей школьного и дошкольного возраста как гражданина Российской Федерации, формировать их гражданскую и культурную идентичность доступными по возрасту средствами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sz w:val="20"/>
              </w:rPr>
            </w:pPr>
            <w:r>
              <w:rPr>
                <w:sz w:val="20"/>
              </w:rPr>
              <w:t>Создана современная образовательная среда, которая обеспечит возможность детям получать качественное общее образование в условиях, отвечающих современным требованиям, будет способствовать развитию современных компетенций и навыков обучающихся</w:t>
            </w:r>
          </w:p>
          <w:p w:rsidR="002E1E2F" w:rsidRDefault="002E1E2F" w:rsidP="002E1E2F">
            <w:pPr>
              <w:pStyle w:val="ConsPlusNormal0"/>
              <w:rPr>
                <w:rFonts w:cs="Calibri"/>
                <w:sz w:val="20"/>
              </w:rPr>
            </w:pPr>
          </w:p>
          <w:p w:rsidR="002E1E2F" w:rsidRDefault="002E1E2F" w:rsidP="002E1E2F">
            <w:pPr>
              <w:pStyle w:val="ConsPlusNormal0"/>
              <w:rPr>
                <w:rFonts w:ascii="PT Astra Serif" w:hAnsi="PT Astra Serif" w:cs="PT Astra Serif"/>
                <w:sz w:val="20"/>
                <w:highlight w:val="yellow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>-Удельный вес численности обучающихся общеобразовательных организаций, обучение которых осуществляется в соответствии с требованиями федеральных государственных образовательных стандартов, в общей численности обучающихся общеобразовательных организаций в городе;</w:t>
            </w:r>
          </w:p>
          <w:p w:rsidR="002E1E2F" w:rsidRDefault="002E1E2F" w:rsidP="002E1E2F">
            <w:pPr>
              <w:pStyle w:val="ConsPlusNormal0"/>
              <w:rPr>
                <w:rFonts w:cs="Calibri"/>
                <w:sz w:val="20"/>
              </w:rPr>
            </w:pPr>
            <w:r>
              <w:rPr>
                <w:spacing w:val="-4"/>
                <w:sz w:val="20"/>
              </w:rPr>
              <w:t>-доступность дошкольного образования для детей в возрасте от 1,5 до 7 лет</w:t>
            </w:r>
          </w:p>
        </w:tc>
      </w:tr>
      <w:tr w:rsidR="002E1E2F" w:rsidTr="002E1E2F">
        <w:trPr>
          <w:trHeight w:val="31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  <w:r>
              <w:rPr>
                <w:sz w:val="20"/>
              </w:rPr>
              <w:t>5</w:t>
            </w:r>
            <w:r w:rsidR="002E1E2F">
              <w:rPr>
                <w:sz w:val="20"/>
              </w:rPr>
              <w:t>.2.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Задача 2: Создание условий для обеспечения здоровья, устойчивости к воздействию инфекций и других неблагоприятных факторов, способности их обучения на начальной ступени обучения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af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 учащиеся младших классов общеобразовательных организаций города обеспечены горячим питанием не реже одного раза в день</w:t>
            </w:r>
          </w:p>
          <w:p w:rsidR="002E1E2F" w:rsidRDefault="002E1E2F" w:rsidP="002E1E2F">
            <w:pPr>
              <w:pStyle w:val="af4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spacing w:line="228" w:lineRule="auto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-Доля обучающихся 1-4 классов муниципальных общеобразовательных организаций, обеспеченных бесплатным горячим питанием</w:t>
            </w:r>
          </w:p>
        </w:tc>
      </w:tr>
      <w:tr w:rsidR="002E1E2F" w:rsidTr="002E1E2F">
        <w:trPr>
          <w:trHeight w:val="12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  <w:r>
              <w:rPr>
                <w:sz w:val="20"/>
              </w:rPr>
              <w:t>5</w:t>
            </w:r>
            <w:r w:rsidR="002E1E2F">
              <w:rPr>
                <w:sz w:val="20"/>
              </w:rPr>
              <w:t>.3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rFonts w:cs="Calibri"/>
                <w:sz w:val="20"/>
                <w:highlight w:val="yellow"/>
              </w:rPr>
            </w:pPr>
            <w:r>
              <w:rPr>
                <w:sz w:val="20"/>
              </w:rPr>
              <w:t>Задача 3: Обеспечить безопасность в образовательных организациях от террористических угроз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sz w:val="20"/>
                <w:highlight w:val="yellow"/>
              </w:rPr>
            </w:pPr>
            <w:r>
              <w:rPr>
                <w:sz w:val="20"/>
              </w:rPr>
              <w:t>Обеспечено соблюдение нормативных требований, предъявляемых к муниципальным образовательным организациям, согласно требованиям санитарно-эпидемиологического законодательства и нормам пожарной безопасности, антитеррористической защищённости, необходимых для ведения безопасного, качественного и комфортного образовательного процесса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spacing w:val="-4"/>
                <w:sz w:val="20"/>
              </w:rPr>
            </w:pPr>
            <w:r>
              <w:rPr>
                <w:sz w:val="20"/>
              </w:rPr>
              <w:t>-Количество зданий муниципальных образовательных организаций, оснащенных оборудованием, обеспечивающим антитеррористическую защищенность (ежегодно)</w:t>
            </w:r>
          </w:p>
        </w:tc>
      </w:tr>
      <w:tr w:rsidR="002E1E2F" w:rsidTr="002E1E2F">
        <w:trPr>
          <w:trHeight w:val="9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  <w:r>
              <w:rPr>
                <w:sz w:val="20"/>
              </w:rPr>
              <w:lastRenderedPageBreak/>
              <w:t>5</w:t>
            </w:r>
            <w:r w:rsidR="002E1E2F">
              <w:rPr>
                <w:sz w:val="20"/>
              </w:rPr>
              <w:t>.4.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sz w:val="20"/>
              </w:rPr>
            </w:pPr>
            <w:r>
              <w:rPr>
                <w:sz w:val="20"/>
              </w:rPr>
              <w:t>Задача 4: Организация, подготовка и проведение ремонтных работ в образовательных организациях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Обновлена материально-техническая база для реализации дошкольных, основных и дополнительных образовательных программ в образовательных организациях города.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sz w:val="20"/>
              </w:rPr>
            </w:pPr>
            <w:r>
              <w:rPr>
                <w:sz w:val="20"/>
              </w:rPr>
              <w:t>-Количество зданий муниципальных образовательных организаций, в которых улучшена материально-техническая база (ежегодно);</w:t>
            </w:r>
          </w:p>
          <w:p w:rsidR="002E1E2F" w:rsidRDefault="002E1E2F" w:rsidP="002E1E2F">
            <w:pPr>
              <w:pStyle w:val="ConsPlusNormal0"/>
              <w:rPr>
                <w:rFonts w:cs="Calibri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-количество зданий образовательных организаций, в которых проведен капитальный ремонт</w:t>
            </w:r>
          </w:p>
        </w:tc>
      </w:tr>
      <w:tr w:rsidR="002E1E2F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2E1E2F">
              <w:rPr>
                <w:sz w:val="20"/>
              </w:rPr>
              <w:t>.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</w:rPr>
            </w:pPr>
            <w:r>
              <w:rPr>
                <w:b/>
                <w:bCs/>
                <w:sz w:val="20"/>
              </w:rPr>
              <w:t xml:space="preserve">Комплекс процессных мероприятий: «Обеспечение реализации муниципальной программы» </w:t>
            </w:r>
            <w:r>
              <w:rPr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2E1E2F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sz w:val="20"/>
              </w:rPr>
            </w:pPr>
            <w:r>
              <w:rPr>
                <w:sz w:val="20"/>
              </w:rPr>
              <w:t>Ответственный: Управление образования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tabs>
                <w:tab w:val="center" w:pos="235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E1E2F" w:rsidTr="002E1E2F">
        <w:trPr>
          <w:trHeight w:val="9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2E1E2F">
              <w:rPr>
                <w:sz w:val="20"/>
              </w:rPr>
              <w:t>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Задача 1: Повышение качества предоставления муниципальных услуг и исполнение основных функций Муниципального бюджетного учреждения дополнительного образования «Центр дополнительного образования и развития детей»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Созданы новые места в образовательных организациях, реализующих дополнительные общеразвивающие программы различных направленностей с целью обновления системы дополнительного образования, отвечающего потребностям детей, в том числе обновление содержания, материально-технической базы профессионального развития педагогических работников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sz w:val="20"/>
              </w:rPr>
            </w:pPr>
            <w:r>
              <w:rPr>
                <w:spacing w:val="-4"/>
                <w:sz w:val="20"/>
              </w:rPr>
              <w:t>-Доля детей в возрасте от 5 до 18 лет, охваченных дополнительным образованием</w:t>
            </w:r>
          </w:p>
        </w:tc>
      </w:tr>
      <w:tr w:rsidR="002E1E2F" w:rsidTr="002E1E2F">
        <w:trPr>
          <w:trHeight w:val="9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2E1E2F">
              <w:rPr>
                <w:sz w:val="20"/>
              </w:rPr>
              <w:t>.2.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sz w:val="20"/>
              </w:rPr>
            </w:pPr>
            <w:r>
              <w:rPr>
                <w:sz w:val="20"/>
              </w:rPr>
              <w:t>Задача 2: Повышение качества предоставления муниципальных услуг и исполнение основных функций</w:t>
            </w:r>
          </w:p>
          <w:p w:rsidR="002E1E2F" w:rsidRDefault="002E1E2F" w:rsidP="002E1E2F">
            <w:pPr>
              <w:pStyle w:val="ConsPlusNormal0"/>
              <w:jc w:val="both"/>
              <w:rPr>
                <w:rFonts w:cs="Calibri"/>
                <w:sz w:val="20"/>
              </w:rPr>
            </w:pPr>
            <w:r>
              <w:rPr>
                <w:sz w:val="20"/>
              </w:rPr>
              <w:t xml:space="preserve">Управления образования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Обеспечено совершенствование инструктивно-методического обеспечения для осуществления процедур контроля и надзора за полнотой и качеством деятельности Управления образования. </w:t>
            </w:r>
          </w:p>
          <w:p w:rsidR="002E1E2F" w:rsidRDefault="002E1E2F" w:rsidP="002E1E2F">
            <w:pPr>
              <w:pStyle w:val="ConsPlusNormal0"/>
              <w:jc w:val="both"/>
              <w:rPr>
                <w:rFonts w:cs="Calibri"/>
                <w:sz w:val="20"/>
              </w:rPr>
            </w:pPr>
            <w:r>
              <w:rPr>
                <w:sz w:val="20"/>
              </w:rPr>
              <w:t>Обеспечена подготовка лиц, привлекаемых к проведению государственной итоговой аттестации.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E1E2F" w:rsidRDefault="002E1E2F" w:rsidP="002E1E2F">
            <w:pPr>
              <w:widowControl w:val="0"/>
              <w:jc w:val="center"/>
              <w:rPr>
                <w:sz w:val="20"/>
              </w:rPr>
            </w:pPr>
          </w:p>
        </w:tc>
      </w:tr>
      <w:tr w:rsidR="002E1E2F" w:rsidTr="002E1E2F">
        <w:trPr>
          <w:trHeight w:val="22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7F109D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Комплекс процессных мероприятий: «Оказание социальной поддержки» </w:t>
            </w:r>
            <w:r>
              <w:rPr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2E1E2F" w:rsidTr="002E1E2F">
        <w:trPr>
          <w:trHeight w:val="22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E1E2F">
              <w:rPr>
                <w:sz w:val="20"/>
              </w:rPr>
              <w:t>.1.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Задача 1: </w:t>
            </w:r>
            <w:r>
              <w:rPr>
                <w:sz w:val="20"/>
              </w:rPr>
              <w:t>Материальная поддержка семей, воспитывающих детей, посещающих образовательные организации, и стимулирование работников образовательных организаций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Повышен уровень благосостояния семей, имеющих детей.</w:t>
            </w:r>
          </w:p>
          <w:p w:rsidR="002E1E2F" w:rsidRDefault="002E1E2F" w:rsidP="002E1E2F">
            <w:pPr>
              <w:widowContro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Увеличен уровень </w:t>
            </w:r>
            <w:proofErr w:type="spellStart"/>
            <w:r>
              <w:rPr>
                <w:bCs/>
                <w:sz w:val="20"/>
              </w:rPr>
              <w:t>закрепляемости</w:t>
            </w:r>
            <w:proofErr w:type="spellEnd"/>
            <w:r>
              <w:rPr>
                <w:bCs/>
                <w:sz w:val="20"/>
              </w:rPr>
              <w:t xml:space="preserve"> молодых специалистов в образовательных организациях города.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sectPr w:rsidR="00F66C7D">
      <w:pgSz w:w="16838" w:h="11906" w:orient="landscape"/>
      <w:pgMar w:top="1418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7D"/>
    <w:rsid w:val="00066279"/>
    <w:rsid w:val="000C5EA0"/>
    <w:rsid w:val="00224E07"/>
    <w:rsid w:val="002E1E2F"/>
    <w:rsid w:val="003C7FDA"/>
    <w:rsid w:val="00494584"/>
    <w:rsid w:val="0050690C"/>
    <w:rsid w:val="00615AB3"/>
    <w:rsid w:val="007F109D"/>
    <w:rsid w:val="008A0DE3"/>
    <w:rsid w:val="00B72447"/>
    <w:rsid w:val="00D53CE2"/>
    <w:rsid w:val="00F35A16"/>
    <w:rsid w:val="00F6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17D64-ED57-4AEB-BDD5-6D36CC3F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3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2E5"/>
    <w:pPr>
      <w:keepNext/>
      <w:outlineLvl w:val="0"/>
    </w:pPr>
    <w:rPr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2C2732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2732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2C27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2C2732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8">
    <w:name w:val="Символ сноски"/>
    <w:basedOn w:val="a0"/>
    <w:uiPriority w:val="99"/>
    <w:unhideWhenUsed/>
    <w:qFormat/>
    <w:rsid w:val="002C2732"/>
    <w:rPr>
      <w:rFonts w:cs="Times New Roman"/>
      <w:vertAlign w:val="superscript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qFormat/>
    <w:rsid w:val="006262E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3373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Гипертекстовая ссылка"/>
    <w:uiPriority w:val="99"/>
    <w:qFormat/>
    <w:rsid w:val="005F7D91"/>
    <w:rPr>
      <w:b/>
      <w:bCs/>
      <w:color w:val="auto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Title"/>
    <w:basedOn w:val="a"/>
    <w:link w:val="a3"/>
    <w:qFormat/>
    <w:rsid w:val="002C2732"/>
    <w:pPr>
      <w:jc w:val="center"/>
    </w:pPr>
    <w:rPr>
      <w:rFonts w:ascii="Calibri" w:eastAsia="Calibri" w:hAnsi="Calibri"/>
      <w:b/>
      <w:bCs/>
      <w:sz w:val="32"/>
      <w:szCs w:val="24"/>
    </w:rPr>
  </w:style>
  <w:style w:type="paragraph" w:customStyle="1" w:styleId="msonormalcxspmiddle">
    <w:name w:val="msonormalcxspmiddle"/>
    <w:basedOn w:val="a"/>
    <w:qFormat/>
    <w:rsid w:val="002C2732"/>
    <w:pPr>
      <w:spacing w:beforeAutospacing="1" w:afterAutospacing="1"/>
    </w:pPr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qFormat/>
    <w:rsid w:val="002C2732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2C2732"/>
    <w:pPr>
      <w:widowControl w:val="0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f2">
    <w:name w:val="No Spacing"/>
    <w:uiPriority w:val="1"/>
    <w:qFormat/>
    <w:rsid w:val="002C2732"/>
    <w:rPr>
      <w:rFonts w:cs="Times New Roman"/>
    </w:rPr>
  </w:style>
  <w:style w:type="paragraph" w:customStyle="1" w:styleId="af3">
    <w:name w:val="Колонтитул"/>
    <w:basedOn w:val="a"/>
    <w:qFormat/>
  </w:style>
  <w:style w:type="paragraph" w:styleId="a7">
    <w:name w:val="header"/>
    <w:basedOn w:val="a"/>
    <w:link w:val="a6"/>
    <w:uiPriority w:val="99"/>
    <w:rsid w:val="002C2732"/>
    <w:pPr>
      <w:tabs>
        <w:tab w:val="center" w:pos="4153"/>
        <w:tab w:val="right" w:pos="8306"/>
      </w:tabs>
    </w:pPr>
    <w:rPr>
      <w:szCs w:val="30"/>
    </w:rPr>
  </w:style>
  <w:style w:type="paragraph" w:customStyle="1" w:styleId="af4">
    <w:name w:val="Прижатый влево"/>
    <w:basedOn w:val="a"/>
    <w:next w:val="a"/>
    <w:uiPriority w:val="99"/>
    <w:qFormat/>
    <w:rsid w:val="002C2732"/>
    <w:pPr>
      <w:widowControl w:val="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a"/>
    <w:uiPriority w:val="99"/>
    <w:semiHidden/>
    <w:unhideWhenUsed/>
    <w:qFormat/>
    <w:rsid w:val="0033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F80A-7D35-4234-8417-BB5943DB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11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27-Razvitie</dc:creator>
  <dc:description/>
  <cp:lastModifiedBy>27-Razvitie</cp:lastModifiedBy>
  <cp:revision>23</cp:revision>
  <cp:lastPrinted>2025-03-24T05:02:00Z</cp:lastPrinted>
  <dcterms:created xsi:type="dcterms:W3CDTF">2025-01-15T06:26:00Z</dcterms:created>
  <dcterms:modified xsi:type="dcterms:W3CDTF">2025-03-27T09:59:00Z</dcterms:modified>
  <dc:language>ru-RU</dc:language>
</cp:coreProperties>
</file>