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>
      <w:pPr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города «О внесении изменений в постановление Администрации города от 28.09.2022 № 2609 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</w:t>
      </w:r>
      <w:r>
        <w:rPr>
          <w:rFonts w:ascii="Times New Roman" w:hAnsi="Times New Roman" w:eastAsia="Arial"/>
          <w:b/>
          <w:sz w:val="28"/>
          <w:szCs w:val="28"/>
        </w:rPr>
        <w:t xml:space="preserve">утверждении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«Строительство и реконструкция объектов инженерной и транспортной инфраструктуры в городе Димитровграде Ульяновской области»»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проекте </w:t>
      </w:r>
      <w:r>
        <w:rPr>
          <w:rFonts w:ascii="Times New Roman" w:hAnsi="Times New Roman" w:eastAsia="Arial"/>
          <w:sz w:val="28"/>
          <w:szCs w:val="28"/>
        </w:rPr>
        <w:t xml:space="preserve">постановления Администрации города «О внесении изменений в постановление Администрации города от 28.09.2022 № 2609 «Об утверждении Муниципальной программы «Строительство и реконструкция объектов инженерной и транспортной инфраструктуры в городе Димитровграде </w:t>
      </w:r>
      <w:r>
        <w:rPr>
          <w:rFonts w:ascii="Times New Roman" w:hAnsi="Times New Roman"/>
          <w:sz w:val="28"/>
          <w:szCs w:val="28"/>
          <w:lang w:eastAsia="ru-RU"/>
        </w:rPr>
        <w:t>Ульяновской области» вносятся изменения в части изменения бюджетных ассигнований на мероприятия, реализуемые в 2023-2024 годы.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объекту «Земельный участок в кадастровом квартале 73:08:020501 г.Димитровграда Ульяновской области» по мероприятию «Выполнение инженерных изысканий для подготовки документации по планировке территории и разработка проекта планировки территории и проекта межевания территории» в 2023 году из средств бюджета города сняты лимиты денежных средств  в размере 9 430,42318,00 тыс.руб.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программу вносятся новые объекты: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«Строительство инфраструктуры для объекта «Индивидуальная жилая застройка по улице Курчатова», расположенном на земельном участке с кадастровым номером 73:08:020501:2178» со следующими мероприятиями: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Выполнение работ по строительству сетей электроснабжения, водоснабжения и водоотведения на 2023 год в сумме 70 000,00 тыс.руб. из средств областного бюджета, на 2024 год в сумме 29 115,42938 тыс.руб. из средств областного бюджета;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Выполнение работ по строительству газораспределительного газопровода среднего и низкого давления на 2023 год в сумме 20 000,00 тыс.руб. из средств областного бюджета, на 2024 год в сумме 11 248,51062 тыс.руб. из средств областного бюджета;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Технологическое присоединение на 2023 год в сумме 5 000,00 тыс.руб. из средств областного бюджета.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«Реконструкция сетей водоснабжения от НС 208 до ГОС (район ул.Промышленная)» со следующими мероприятиями: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Выполнение инженерных изысканий, разработка проектно-сметной документации, государственная экспертиза проектно-сметной документации для реконструкции сетей водоснабжения на 2023 год в сумме 460,03000 тыс.руб. из средств бюджета города;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«Реконструкция сетей водоотведения (район Ипподром)» со следующими мероприятиями: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Выполнение инженерных изысканий, разработка проектно-сметной документации, государственная экспертиза проектно-сметной документации для реконструкции сетей водоотведения на 2023 год в сумме 199,98000 тыс.руб. из средств бюджета города;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«Реконструкция КНС (район Ипподром)» со следующими мероприятиями: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Выполнение инженерных изысканий, разработка проектно-сметной документации, государственная экспертиза проектно-сметной документации для реконструкции КНС на 2023 год в сумме 39,99000 тыс.руб. из средств бюджета города;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на основании постановления Администрации города от 29.12.2022 № 3762 «Об утверждении порядка разработки, реализации и оценки эффективности муниципальных программ на территории города Димитровграда Ульяновской области» внесены изменения в паспорт муниципальной программы и систему программных мероприятий.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Система индикаторов эффективности муниципальной программы скорректирована в соответствии с перечнем объектов и мероприятий.</w:t>
      </w:r>
    </w:p>
    <w:p>
      <w:pPr>
        <w:pStyle w:val="4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4"/>
        <w:ind w:firstLine="0"/>
        <w:jc w:val="both"/>
        <w:rPr>
          <w:b/>
          <w:sz w:val="19"/>
          <w:szCs w:val="19"/>
        </w:rPr>
      </w:pPr>
    </w:p>
    <w:p>
      <w:pPr>
        <w:pStyle w:val="44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4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МКУ «ДИИП»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Н.А.Горошков</w:t>
      </w: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Карабаева Александра Александровна</w:t>
      </w:r>
    </w:p>
    <w:p>
      <w:pPr>
        <w:widowControl w:val="0"/>
        <w:spacing w:after="0" w:line="240" w:lineRule="auto"/>
        <w:contextualSpacing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4-56-02</w:t>
      </w:r>
    </w:p>
    <w:p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caps/>
          <w:sz w:val="28"/>
          <w:szCs w:val="28"/>
        </w:rPr>
        <w:t>ФИНАНСОВО-экономическое обоснование</w:t>
      </w:r>
    </w:p>
    <w:p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города «О внесении изменений в постановление Администрации города от 28.09.2022 № 2609 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</w:t>
      </w:r>
      <w:r>
        <w:rPr>
          <w:rFonts w:ascii="Times New Roman" w:hAnsi="Times New Roman" w:eastAsia="Arial"/>
          <w:b/>
          <w:sz w:val="28"/>
          <w:szCs w:val="28"/>
        </w:rPr>
        <w:t xml:space="preserve">утверждении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«Строительство и реконструкция объектов инженерной и транспортной инфраструктуры в городе Димитровграде Ульяновской области»»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</w:t>
      </w:r>
      <w:r>
        <w:rPr>
          <w:rFonts w:ascii="Times New Roman" w:hAnsi="Times New Roman" w:eastAsia="Arial"/>
          <w:sz w:val="28"/>
          <w:szCs w:val="28"/>
        </w:rPr>
        <w:t xml:space="preserve">постановления Администрации города «О внесении изменений в постановление Администрации города от 28.09.2022 № 2609 «Об утверждении Муниципальной программы «Строительство и реконструкция объектов инженерной и транспортной инфраструктуры в городе Димитровграде Ульяновской области» </w:t>
      </w:r>
      <w:r>
        <w:rPr>
          <w:rFonts w:ascii="Times New Roman" w:hAnsi="Times New Roman"/>
          <w:sz w:val="28"/>
          <w:szCs w:val="28"/>
          <w:lang w:eastAsia="ru-RU"/>
        </w:rPr>
        <w:t>вносятся изменения в части изменения бюджетных ассигнований на мероприятия, реализуемые в 2023-2024 годы</w:t>
      </w:r>
      <w:r>
        <w:rPr>
          <w:rFonts w:ascii="Times New Roman" w:hAnsi="Times New Roman" w:eastAsia="Arial"/>
          <w:sz w:val="28"/>
          <w:szCs w:val="28"/>
        </w:rPr>
        <w:t xml:space="preserve">. 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Объем финансирования мероприятий из средств бюджета города в 2023 году уменьшился с </w:t>
      </w:r>
      <w:r>
        <w:rPr>
          <w:rFonts w:ascii="Times New Roman" w:hAnsi="Times New Roman"/>
          <w:sz w:val="28"/>
          <w:szCs w:val="28"/>
        </w:rPr>
        <w:t>12 830,50703 тыс. руб. до 4 100,08385 тыс. руб. на сумму 8 730,423180  тыс. руб.</w:t>
      </w:r>
    </w:p>
    <w:p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Объем финансирования мероприятий из средств </w:t>
      </w:r>
      <w:r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 w:eastAsia="Arial"/>
          <w:sz w:val="28"/>
          <w:szCs w:val="28"/>
        </w:rPr>
        <w:t xml:space="preserve"> бюджета в 2023 году увеличился с </w:t>
      </w:r>
      <w:r>
        <w:rPr>
          <w:rFonts w:ascii="Times New Roman" w:hAnsi="Times New Roman"/>
          <w:sz w:val="28"/>
          <w:szCs w:val="28"/>
        </w:rPr>
        <w:t xml:space="preserve">0,00 тыс. руб. до 95 000,00 тыс. руб., а </w:t>
      </w:r>
      <w:r>
        <w:rPr>
          <w:rFonts w:ascii="Times New Roman" w:hAnsi="Times New Roman" w:eastAsia="Arial"/>
          <w:sz w:val="28"/>
          <w:szCs w:val="28"/>
        </w:rPr>
        <w:t xml:space="preserve">в 2024 году увеличился с 0,00 </w:t>
      </w:r>
      <w:r>
        <w:rPr>
          <w:rFonts w:ascii="Times New Roman" w:hAnsi="Times New Roman"/>
          <w:sz w:val="28"/>
          <w:szCs w:val="28"/>
        </w:rPr>
        <w:t>тыс. руб. до 40 364,94000 тыс. руб.</w:t>
      </w:r>
    </w:p>
    <w:p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по муниципальной программе финансирование увеличилось на 126 634,51682 тыс.руб. и составляет 1 032 254,10053 тыс.руб.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44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МКУ «ДИИП»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Н.А.Горошков</w:t>
      </w: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Карабаева Александра Александровна</w:t>
      </w:r>
    </w:p>
    <w:p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>4-56-02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города</w:t>
      </w:r>
    </w:p>
    <w:p>
      <w:pPr>
        <w:widowControl w:val="0"/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28.09.2022 № 2609</w:t>
      </w:r>
    </w:p>
    <w:bookmarkEnd w:id="0"/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пунктом 10 части 2 статьи 55 Устава муниципального образования «Город Димитровград» Ульяновской области, постановлением Администрации города от 28.12.2018 № 2905 «Об утверждении </w:t>
      </w:r>
      <w:r>
        <w:fldChar w:fldCharType="begin"/>
      </w:r>
      <w:r>
        <w:instrText xml:space="preserve"> HYPERLINK "http://docs.cntd.ru/document/463706439"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на территории города Димитровграда Ульяновской области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 п о с т а н о в л я ю: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от 28.09.2022 № 2609 «Об утверждении Муниципальной программы «Строительство и реконструкция объектов инженерной и транспортной инфраструктуры в городе Димитровграде Ульяновской области» (далее – постановление) следующие изменения: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1 муниципальной программы изложить в следующей редакции: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Arial" w:cs="Times New Roman"/>
          <w:sz w:val="28"/>
          <w:szCs w:val="28"/>
        </w:rPr>
        <w:t>«</w:t>
      </w:r>
      <w:r>
        <w:rPr>
          <w:rFonts w:ascii="Times New Roman" w:hAnsi="Times New Roman" w:eastAsia="Arial" w:cs="Times New Roman"/>
          <w:b/>
          <w:sz w:val="28"/>
          <w:szCs w:val="28"/>
        </w:rPr>
        <w:t xml:space="preserve">1.Паспорт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«Строительство и реконструкция объектов инженерной и транспортной инфраструктуры в городе Димитровграде Ульяновской области»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552" w:type="dxa"/>
            <w:shd w:val="clear" w:color="auto" w:fill="auto"/>
          </w:tcPr>
          <w:p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«Строительство и реконструкция объектов инженерной и транспортной инфраструктуры в городе Димитровграде Ульяновской области» (далее – муниципальная программа)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552" w:type="dxa"/>
            <w:shd w:val="clear" w:color="auto" w:fill="auto"/>
          </w:tcPr>
          <w:p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87" w:type="dxa"/>
            <w:shd w:val="clear" w:color="auto" w:fill="auto"/>
          </w:tcPr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«Дирекция инвестиционных и инновационных проектов» (далее – МКУ «ДИИП») 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552" w:type="dxa"/>
            <w:shd w:val="clear" w:color="auto" w:fill="auto"/>
          </w:tcPr>
          <w:p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87" w:type="dxa"/>
            <w:shd w:val="clear" w:color="auto" w:fill="auto"/>
          </w:tcPr>
          <w:p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Димитровграда Ульяновской области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552" w:type="dxa"/>
            <w:shd w:val="clear" w:color="auto" w:fill="auto"/>
          </w:tcPr>
          <w:p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87" w:type="dxa"/>
            <w:shd w:val="clear" w:color="auto" w:fill="auto"/>
          </w:tcPr>
          <w:p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«ДИИП»  (по согласованию)</w:t>
            </w:r>
          </w:p>
          <w:p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«УАиГ»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552" w:type="dxa"/>
            <w:shd w:val="clear" w:color="auto" w:fill="auto"/>
          </w:tcPr>
          <w:p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составе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552" w:type="dxa"/>
            <w:shd w:val="clear" w:color="auto" w:fill="auto"/>
          </w:tcPr>
          <w:p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087" w:type="dxa"/>
            <w:shd w:val="clear" w:color="auto" w:fill="auto"/>
          </w:tcPr>
          <w:p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552" w:type="dxa"/>
            <w:shd w:val="clear" w:color="auto" w:fill="auto"/>
          </w:tcPr>
          <w:p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87" w:type="dxa"/>
            <w:shd w:val="clear" w:color="auto" w:fill="auto"/>
          </w:tcPr>
          <w:p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" w:cs="Times New Roman"/>
                <w:bCs/>
                <w:sz w:val="28"/>
                <w:szCs w:val="28"/>
                <w:lang w:eastAsia="ar-SA"/>
              </w:rPr>
              <w:t>Комфортная и безопасная среда для жизни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552" w:type="dxa"/>
            <w:shd w:val="clear" w:color="auto" w:fill="auto"/>
          </w:tcPr>
          <w:p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87" w:type="dxa"/>
            <w:shd w:val="clear" w:color="auto" w:fill="auto"/>
          </w:tcPr>
          <w:p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eastAsia="Arial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2023-2030 годах. Этапы не выделяются.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552" w:type="dxa"/>
            <w:shd w:val="clear" w:color="auto" w:fill="auto"/>
          </w:tcPr>
          <w:p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реализации*</w:t>
            </w:r>
          </w:p>
        </w:tc>
        <w:tc>
          <w:tcPr>
            <w:tcW w:w="7087" w:type="dxa"/>
            <w:shd w:val="clear" w:color="auto" w:fill="auto"/>
          </w:tcPr>
          <w:p>
            <w:pPr>
              <w:pStyle w:val="23"/>
              <w:widowControl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муниципальной программы: бюджет города, средства областного бюджета.</w:t>
            </w:r>
          </w:p>
          <w:p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бюджетных ассигнований бюджета города на финансовое обеспечение реализации муниципальной программы составляет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1 032 254,10053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числе: </w:t>
            </w:r>
          </w:p>
          <w:p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бюджета города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48 739,53768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числе: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4 100,08385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–0,00 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4 157,00883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14 913,66500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5 203,20000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8 502,83000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11 862,75000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областного бюджета Ульяновской области*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983 514,56285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числе: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95 000,00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40 364,94000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78 983,16785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283 359,63500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98 860,80000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–161 553,77000 тыс. руб.</w:t>
            </w:r>
          </w:p>
          <w:p>
            <w:pPr>
              <w:pStyle w:val="23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–225 392,25000 тыс.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552" w:type="dxa"/>
            <w:shd w:val="clear" w:color="auto" w:fill="auto"/>
          </w:tcPr>
          <w:p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проектов, реализуемых в составе муниципальной программы с разбивкой по источникам финансового обеспечения и годам реализации*</w:t>
            </w:r>
          </w:p>
        </w:tc>
        <w:tc>
          <w:tcPr>
            <w:tcW w:w="7087" w:type="dxa"/>
            <w:shd w:val="clear" w:color="auto" w:fill="auto"/>
          </w:tcPr>
          <w:p>
            <w:pPr>
              <w:pStyle w:val="23"/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55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ожидаемые результаты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1.Строительство нового пешеходного моста через реку Мелекесс в районе Верхнего пруда – 120 кв.м.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2.Ввод в эксплуатацию автомобильных дорог –13,00 км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3.Ввод в эксплуатацию новых сетей водоснабжения –17,44 км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4.Ввод в эксплуатацию новых сетей канализации хозяйственно-бытовой –19,98 км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5.Ввод в эксплуатацию новых сетей электроснабжения –19,07 км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6.Ввод в эксплуатацию новых сетей газоснабжения –22.2 км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7.Образование 1500 земельных участков для предоставления многодетным семьям.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8.Ввод в эксплуатацию новых сетей ливневой канализации – 1,24 км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9.Ввод в эксплуатацию реконструируемых сетей водоснабжения – 4,00км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10.Ввод в эксплуатацию реконструируемых сетей водоотведения – 5,46км</w:t>
            </w:r>
          </w:p>
          <w:p>
            <w:pPr>
              <w:pStyle w:val="23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11.Ввод в эксплуатацию реконструируемой КНС – 1шт.</w:t>
            </w:r>
          </w:p>
        </w:tc>
      </w:tr>
    </w:tbl>
    <w:p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*Средства бюджета города, источником финансового обеспечения которых являются средства областного бюджета, указываются в виде межбюджетных трансфертов, возможных к получению на реализацию мероприятий муниципальной программы.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1.2.Раздел 2 муниципальной программы изложить в следующей редакции:</w:t>
      </w:r>
    </w:p>
    <w:p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eastAsia="Arial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eastAsia="Arial" w:cs="Times New Roman"/>
          <w:b/>
          <w:sz w:val="28"/>
          <w:szCs w:val="28"/>
        </w:rPr>
        <w:t>Характеристика проблем, на решение которых направлена муниципальная программа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целях повышения уровня жизни граждан, а также создания комфортных условий для их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проживания, на основании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Указа Президента Российской Федерации от 21.07.2020  № 474 «О национальных целях развития Российской Федерации на период до 2030 года», разработана данная  муниципальная программа, </w:t>
      </w:r>
      <w:r>
        <w:rPr>
          <w:rFonts w:ascii="Times New Roman" w:hAnsi="Times New Roman" w:cs="Times New Roman"/>
          <w:sz w:val="28"/>
          <w:szCs w:val="28"/>
        </w:rPr>
        <w:t>включающая в себя реализацию мероприятий по строительству и реконструкции объектов инженерной и транспортной инфраструктуры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Сеть автомобильных дорог - важнейший элемент экономики города. Ее эффективное функционирование и устойчивое развитие являются необходимым условием перехода к экономическому росту, повышению уровня и улучшению условий жизни жителей города.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2008 году были проведены работы по экологическому благоустройству Верхнего пруда, в том числе была проведена расчистка и построена временная пешеходная дамба, которую должны были убрать после выполнения работ. До настоящего времени данное сооружение не было демонтировано. Граждане пользуются ею постоянно, поскольку это прямой путь с ул.Осипенко в МБОУ Лицей № 16 при УлГТУ им.Юрия Юрьевича Медведкова. Узкая дорожка, отсутствие перил и освещения делают его эксплуатацию опасной и создают угрозу для жизни людей. В связи с этим, для благоустройства, улучшения экосистемы пруда и увеличения пропускной способности, необходимо в первую очередь реконструировать временную насыпную дамбу путем демонтажа части пешеходной дамбы и строительства пешеходного моста.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Инженерная инфраструктура в целом представляет необходимое условие, которое способно активно воздействовать на экономические показатели работы территорий и предприятий. Можно выделить следующие каналы влияния инженерной инфраструктуры на экономику определенной территории: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- развитие инженерной инфраструктуры приводит к улучшению качества жизни людей и росту их производительности, поскольку здоровый человек работает значительно лучше.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- ее наличие приводит к улучшению качества жизни людей на данной территории, что стимулирует приток в данную местность новых жителей. В результате повышается совокупный выпуск и производительность за счет привлечения более квалифицированных кадров.                                                      </w:t>
      </w:r>
      <w:r>
        <w:rPr>
          <w:rFonts w:ascii="Times New Roman" w:hAnsi="Times New Roman" w:eastAsia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- улучшение инженерной инфраструктуры привлекает на территорию дополнительные инвестиции и способствует развитию уже существующего бизнеса, что приводит к росту выпуска продукции сельскохозяйственных предприятий. А также привлекает на территорию не только производственный бизнес, но и сопутствующие ему структуры, что приводит к общему социально-экономическому развитию территории.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Острой проблемой является обеспечение участков, выданных многодетными семьями для индивидуального строительства, инженерной инфраструктурой и автомобильными дорогами. Земельные участки,  которые были предоставлены на момент действия статьи 11.2 Закона Ульяновской области от 17.11.2003 №059-ЗО «О регулировании земельных отношений в Ульяновской области» для индивидуального жилищного строительства, расположенные на территории города по улицам Тараканова, Черемшанской, Восточной, Менделеева, Курчатова в настоящее время  не обеспечены инженерной инфраструктурой: электро-, водо- газоснабжением, канализацией бытовых стоков, телефонизацией и радиофикацией, а также автомобильными дорогами.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Также на сегодняшний день в городе ведется строительство многоцелевого ядерного реактора на быстрых нейронах (МБИР). Для персонала и участников ядерно-инновационного кластера строится новый жилой квартал малоэтажной застройки, который необходимо обеспечить инженерной инфраструктурой: электро-, водоснабжением, канализацией бытовых стоков, а также автомобильными дорогами. В связи с этим возникла необходимость в реализации данных мероприятий.</w:t>
      </w:r>
    </w:p>
    <w:p>
      <w:pPr>
        <w:suppressAutoHyphens/>
        <w:spacing w:after="0" w:line="240" w:lineRule="auto"/>
        <w:ind w:firstLine="53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Все вышеперечисленные мероприятия, согласно Градостроительному кодексу РФ, требуют разработки проектной документации и получение положительного заключения государственной экспертизы. По завершении работ все объекты капитального строительства необходимо ввести в эксплуатацию.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Проведение данных программных мероприятий позволит улучшить условия проживания населения, увеличить мобильность автотранспортных средств и населения при передвижении и в целом благоустроить и улучшить привлекательность населенного пункта, а также увеличить пропускную способность автомобильных дорог и транспортную доступность районов города.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 целью развития промышленного потенциала города и увеличения количества рабочих мест активно проходит работа по привлечению новых инвесторов на промышленную площадку в районе ул.Промышленной. Таким образом, необходимо провести реконструкцию сетей водоснабжения в данном районе.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связи с тем, что в районе Ипподром отсутствует система отвода бытовых стоков, необходимо провести реконструкцию сетей водоотведения с реконструкцией канализационно-насосной станции (КНС).</w:t>
      </w:r>
    </w:p>
    <w:p>
      <w:pPr>
        <w:pStyle w:val="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при реализации муниципальной программы следует учитывать ряд возможных рисков, связанных с существенным изменением законодательства, проведением работ и финансированием мероприятий муниципальной программы:</w:t>
      </w:r>
    </w:p>
    <w:p>
      <w:pPr>
        <w:pStyle w:val="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1.Риск изменения законодательства связан с тем, что возникнет необходимость корректировать документы, подготовленные для реализации мероприятий муниципальной программы, что повлечет за собой либо отставание от графика реализации мероприятий, либо сделает реализацию некоторых мероприятий экономически невыгодной или невозможной.</w:t>
      </w:r>
    </w:p>
    <w:p>
      <w:pPr>
        <w:pStyle w:val="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2.Риск, связанный с нарушением сроков проектирования и строительства инженерной инфраструктуры со стороны подрядчиков.</w:t>
      </w:r>
    </w:p>
    <w:p>
      <w:pPr>
        <w:pStyle w:val="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негативный эффект от данного риска можно путём проведения конкурсного отбора подрядных организаций в порядке, установленном действующим законодательством.</w:t>
      </w:r>
    </w:p>
    <w:p>
      <w:pPr>
        <w:pStyle w:val="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3.Риск, связанный с сокращением бюджетных ассигнований на реализацию мероприятий муниципальной программы, может быть минимизирован путем перераспределения части работ на будущий финансовый период.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Список используемых сокращений и терминов</w:t>
      </w:r>
    </w:p>
    <w:p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Администрация города - Администрация города Димитровграда Ульяновской области.</w:t>
      </w:r>
    </w:p>
    <w:p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МКУ «ДИИП» - Муниципальное казенное учреждение «Дирекция инвестиционных и инновационных проектов».</w:t>
      </w:r>
    </w:p>
    <w:p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Муниципальная программа -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Строительство и реконструкция объектов инженерной и транспортной инфраструктуры в городе Димитровграде Ульяновской области»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widowControl w:val="0"/>
        <w:tabs>
          <w:tab w:val="left" w:pos="0"/>
          <w:tab w:val="left" w:pos="709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- город Димитровград Ульяновской области.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».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1.3.Абзац первый раздела 5 муниципальной программы изложить в следующей редакции:  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программы осуществляется в соответствии с порядком разработки, реализации и оценки эффективности муниципальных программ на территории города Димитровграда Ульяновской области, утвержденным постановлением Администрации города от 29.12.2022 № 3762 (далее - Порядок).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».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1.4.Приложение № 1 к муниципальной программе изложить в редакции согласно приложению № 1.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1.5.Приложение № 2 к муниципальной программе изложить в редакции согласно приложению № 2.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1.6.Приложение № 3 к муниципальной программе изложить в редакции согласно приложению № 3.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2.Установить, что настоящее постановление подлежит официальному опубликованию.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заместителя Главы города Трофимова Д.Д.</w:t>
      </w:r>
    </w:p>
    <w:p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eastAsia="Arial" w:cs="Times New Roman"/>
          <w:sz w:val="28"/>
          <w:szCs w:val="28"/>
        </w:rPr>
        <w:t>А.Н.Большаков</w:t>
      </w:r>
    </w:p>
    <w:p>
      <w:pPr>
        <w:widowControl w:val="0"/>
        <w:spacing w:after="0" w:line="240" w:lineRule="auto"/>
        <w:ind w:firstLine="5670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>
          <w:headerReference r:id="rId5" w:type="default"/>
          <w:footerReference r:id="rId7" w:type="default"/>
          <w:headerReference r:id="rId6" w:type="even"/>
          <w:pgSz w:w="11906" w:h="16838"/>
          <w:pgMar w:top="1134" w:right="567" w:bottom="426" w:left="1701" w:header="708" w:footer="708" w:gutter="0"/>
          <w:cols w:space="708" w:num="1"/>
          <w:docGrid w:linePitch="360" w:charSpace="0"/>
        </w:sectPr>
      </w:pPr>
    </w:p>
    <w:p>
      <w:pPr>
        <w:widowControl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>
      <w:pPr>
        <w:widowControl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>
      <w:pPr>
        <w:widowControl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 №_________</w:t>
      </w:r>
    </w:p>
    <w:p>
      <w:pPr>
        <w:widowControl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>
      <w:pPr>
        <w:widowControl w:val="0"/>
        <w:spacing w:after="0" w:line="240" w:lineRule="auto"/>
        <w:ind w:left="878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к муниципальной программе</w:t>
      </w:r>
    </w:p>
    <w:p>
      <w:pPr>
        <w:widowControl w:val="0"/>
        <w:spacing w:after="0" w:line="240" w:lineRule="auto"/>
        <w:ind w:left="8789" w:right="-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«Строительство и реконструкция объектов инженерной и транспортной инфраструктуры в городе Димитровграде Ульяновской области» </w:t>
      </w:r>
    </w:p>
    <w:p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Система индика</w:t>
      </w:r>
      <w:r>
        <w:rPr>
          <w:rFonts w:ascii="Times New Roman" w:hAnsi="Times New Roman" w:cs="Times New Roman"/>
          <w:sz w:val="28"/>
          <w:szCs w:val="28"/>
        </w:rPr>
        <w:t xml:space="preserve">торов эффективности реализации </w:t>
      </w:r>
      <w:r>
        <w:rPr>
          <w:rFonts w:ascii="Times New Roman" w:hAnsi="Times New Roman" w:eastAsia="Times New Roman" w:cs="Times New Roman"/>
          <w:sz w:val="28"/>
          <w:szCs w:val="28"/>
        </w:rPr>
        <w:t>муниципальной программы.</w:t>
      </w:r>
    </w:p>
    <w:p>
      <w:pPr>
        <w:widowControl w:val="0"/>
        <w:autoSpaceDE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Таблица № 1</w:t>
      </w:r>
    </w:p>
    <w:tbl>
      <w:tblPr>
        <w:tblStyle w:val="4"/>
        <w:tblW w:w="15026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111"/>
        <w:gridCol w:w="993"/>
        <w:gridCol w:w="1134"/>
        <w:gridCol w:w="1276"/>
        <w:gridCol w:w="1134"/>
        <w:gridCol w:w="992"/>
        <w:gridCol w:w="1133"/>
        <w:gridCol w:w="851"/>
        <w:gridCol w:w="850"/>
        <w:gridCol w:w="99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tblHeader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№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Наименование,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>Характер динамики значений индикатора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>Базовое значение</w:t>
            </w:r>
          </w:p>
        </w:tc>
        <w:tc>
          <w:tcPr>
            <w:tcW w:w="82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Значение показателей по годам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tblHeader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ind w:left="81" w:hanging="81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Строительство пешеходного моста через реку Мелекесс в районе Верхнего пруда в городе Димитровграде Ульяновской области,  ед.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повышательный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Дорожное покрытие – 120 кв.м.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пешеходной части - 3м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Ввод в эксплуатацию автомобильных дорог, км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повышательный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Ввод в эксплуатацию новых сетей водоснабжения, км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повышательный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2,49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0,55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Ввод в эксплуатацию новых сетей канализации хозяйственно-бытовой, км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повышательный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2,23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5,45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Ввод в эксплуатацию новых сетей электроснабжения, км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повышательный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3,67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Ввод в эксплуатацию новых сетей газоснабжения, км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повышательный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Образование 1500 земельных участков для предоставления многодетным семьям, га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повышательный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Ввод в эксплуатацию новых сетей ливневой канализации, км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повышательный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1,24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 реконструируемых сетей водоснабжения, км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повышательный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 реконструируемых сетей водоотведения, км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повышательный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5,46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11.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 реконструируемой КНС, шт.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повышательный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>
          <w:pgSz w:w="16838" w:h="11906" w:orient="landscape"/>
          <w:pgMar w:top="1134" w:right="567" w:bottom="1134" w:left="1701" w:header="709" w:footer="709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№___________</w:t>
      </w:r>
    </w:p>
    <w:p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>
      <w:pPr>
        <w:widowControl w:val="0"/>
        <w:spacing w:after="0" w:line="240" w:lineRule="auto"/>
        <w:ind w:left="4536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к муниципальной программе</w:t>
      </w:r>
    </w:p>
    <w:p>
      <w:pPr>
        <w:widowControl w:val="0"/>
        <w:spacing w:after="0" w:line="240" w:lineRule="auto"/>
        <w:ind w:left="4536" w:right="-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«Строительство и реконструкция объектов инженерной и транспортной инфраструктуры в городе Димитровграде Ульяновской области» </w:t>
      </w:r>
    </w:p>
    <w:p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Социально-экономические результаты, достижение которых планируется в результате реализации муниципальной программы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</w:p>
    <w:p>
      <w:pPr>
        <w:widowControl w:val="0"/>
        <w:autoSpaceDE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Таблица № 2</w:t>
      </w:r>
    </w:p>
    <w:tbl>
      <w:tblPr>
        <w:tblStyle w:val="4"/>
        <w:tblW w:w="102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69"/>
        <w:gridCol w:w="2977"/>
        <w:gridCol w:w="2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и мощности вводимых в эксплуатацию объектов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социально-экономические результаты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Строительство пешеходного моста через реку Мелекесс в районе Верхнего пруда в городе Димитровграде Ульяновской области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–40 м;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пешеходной части– 3м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покрытие – 120 кв.м.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Ввод в эксплуатацию автомобильных дорог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км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полном объеме транспортной инфраструктурой земельных участков по улицам Тараканова, Восточная, Менделеева, Черемшанская, Курчатова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Ввод в эксплуатацию новых сетей водоснабжения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 км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полном объеме потребностей в питьевой воде земельных участков по улицам Тараканова, Восточная, Менделеева, Черемшанская, Курчатова, а также малоэтажной застройки по ул.Курчатова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Ввод в эксплуатацию новых сетей канализации хозяйственно-бытовой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19,98 км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 сброса бытовых стоков земельных участков по улицам Тараканова, Восточная, Менделеева, Черемшанская, Курчатова, а также малоэтажной застройки по ул.Курчатова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Ввод в эксплуатацию новых сетей электроснабжения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19,07 км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электроснабжением, а также наружным освещением земельных участков по улицам Тараканова, Восточная, Менделеева, Черемшанская, Курчатова, а также малоэтажной застройки по ул.Курчатова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Ввод в эксплуатацию новых сетей газоснабжения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 км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автономным отоплением земельных участков по улицам Тараканова, Восточная, Менделеева, Черемшанская, Курчатова, а также малоэтажной застройки по ул.Курчатова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Образование 1500 земельных участков для предоставления многодетным семьям.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Территория общей площадью - 452 га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не менее 1500 земельных участков для индивидуальной жилой застройки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Ввод в эксплуатацию новых сетей ливневой канализации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1,24 км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поверхностных и ливневых вод с площади участка 2,9 га (малоэтажная застройка по ул.Курчатова)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реконструируемых сетей водоснабжения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4,00 км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 полном объеме потребностей в питьевой воде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в квартале ул.Промышленной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Мулловское шоссе площадью 91 га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реконструируемых сетей водоотведения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5, 46 км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 сброса бытовых стоков с площади 28 га в районе Ипподром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реконструируемой КНС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Мощность КНС – 200 м³/ч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 сброса бытовых стоков с площади 28 га в районе Ипподром</w:t>
            </w:r>
          </w:p>
        </w:tc>
      </w:tr>
    </w:tbl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276" w:right="566" w:bottom="567" w:left="1134" w:header="709" w:footer="709" w:gutter="0"/>
          <w:cols w:space="708" w:num="1"/>
          <w:docGrid w:linePitch="360" w:charSpace="0"/>
        </w:sectPr>
      </w:pPr>
    </w:p>
    <w:tbl>
      <w:tblPr>
        <w:tblW w:w="161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"/>
        <w:gridCol w:w="67"/>
        <w:gridCol w:w="494"/>
        <w:gridCol w:w="538"/>
        <w:gridCol w:w="80"/>
        <w:gridCol w:w="355"/>
        <w:gridCol w:w="71"/>
        <w:gridCol w:w="390"/>
        <w:gridCol w:w="140"/>
        <w:gridCol w:w="359"/>
        <w:gridCol w:w="128"/>
        <w:gridCol w:w="390"/>
        <w:gridCol w:w="11"/>
        <w:gridCol w:w="401"/>
        <w:gridCol w:w="22"/>
        <w:gridCol w:w="465"/>
        <w:gridCol w:w="143"/>
        <w:gridCol w:w="372"/>
        <w:gridCol w:w="238"/>
        <w:gridCol w:w="248"/>
        <w:gridCol w:w="330"/>
        <w:gridCol w:w="156"/>
        <w:gridCol w:w="429"/>
        <w:gridCol w:w="86"/>
        <w:gridCol w:w="400"/>
        <w:gridCol w:w="210"/>
        <w:gridCol w:w="271"/>
        <w:gridCol w:w="244"/>
        <w:gridCol w:w="339"/>
        <w:gridCol w:w="176"/>
        <w:gridCol w:w="382"/>
        <w:gridCol w:w="19"/>
        <w:gridCol w:w="515"/>
        <w:gridCol w:w="28"/>
        <w:gridCol w:w="516"/>
        <w:gridCol w:w="211"/>
        <w:gridCol w:w="304"/>
        <w:gridCol w:w="366"/>
        <w:gridCol w:w="178"/>
        <w:gridCol w:w="462"/>
        <w:gridCol w:w="81"/>
        <w:gridCol w:w="363"/>
        <w:gridCol w:w="285"/>
        <w:gridCol w:w="288"/>
        <w:gridCol w:w="227"/>
        <w:gridCol w:w="369"/>
        <w:gridCol w:w="146"/>
        <w:gridCol w:w="387"/>
        <w:gridCol w:w="15"/>
        <w:gridCol w:w="515"/>
        <w:gridCol w:w="12"/>
        <w:gridCol w:w="532"/>
        <w:gridCol w:w="118"/>
        <w:gridCol w:w="426"/>
        <w:gridCol w:w="208"/>
        <w:gridCol w:w="336"/>
        <w:gridCol w:w="260"/>
        <w:gridCol w:w="284"/>
        <w:gridCol w:w="170"/>
        <w:gridCol w:w="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ПРИЛОЖЕНИЕ № 1                                                                                        к постановлению Администрации города                                                                   от _____________ №_________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79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«ПРИЛОЖЕНИЕ №1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к муниципальной программе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«Строительство и реконструкция объектов инженерной и транспортной инфраструктуры в городе Димитровграде Ульяновской области»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8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Система программных мероприятий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№ п/п</w:t>
            </w:r>
          </w:p>
        </w:tc>
        <w:tc>
          <w:tcPr>
            <w:tcW w:w="128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Наименование мероприятий</w:t>
            </w:r>
          </w:p>
        </w:tc>
        <w:tc>
          <w:tcPr>
            <w:tcW w:w="113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Ответственный исполнитель**</w:t>
            </w:r>
          </w:p>
        </w:tc>
        <w:tc>
          <w:tcPr>
            <w:tcW w:w="8904" w:type="dxa"/>
            <w:gridSpan w:val="3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Источник финансового обеспечения, тыс.руб.</w:t>
            </w:r>
          </w:p>
        </w:tc>
        <w:tc>
          <w:tcPr>
            <w:tcW w:w="4452" w:type="dxa"/>
            <w:gridSpan w:val="1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2" w:type="dxa"/>
            <w:gridSpan w:val="1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Бюджетные ассигнования бюджета города</w:t>
            </w:r>
          </w:p>
        </w:tc>
        <w:tc>
          <w:tcPr>
            <w:tcW w:w="4452" w:type="dxa"/>
            <w:gridSpan w:val="1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Бюджетные ассигнования областного бюджета*</w:t>
            </w:r>
          </w:p>
        </w:tc>
        <w:tc>
          <w:tcPr>
            <w:tcW w:w="4452" w:type="dxa"/>
            <w:gridSpan w:val="18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Финансовое обеспечение всего:</w:t>
            </w:r>
          </w:p>
        </w:tc>
        <w:tc>
          <w:tcPr>
            <w:tcW w:w="3872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по годам (тыс.руб.)</w:t>
            </w:r>
          </w:p>
        </w:tc>
        <w:tc>
          <w:tcPr>
            <w:tcW w:w="58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Финансовое обеспечение всего:</w:t>
            </w:r>
          </w:p>
        </w:tc>
        <w:tc>
          <w:tcPr>
            <w:tcW w:w="3872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по годам (тыс.руб.)</w:t>
            </w:r>
          </w:p>
        </w:tc>
        <w:tc>
          <w:tcPr>
            <w:tcW w:w="58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Финансовое обеспечение всего:</w:t>
            </w:r>
          </w:p>
        </w:tc>
        <w:tc>
          <w:tcPr>
            <w:tcW w:w="3872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по годам (тыс.руб.)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4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58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4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58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4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83" w:type="dxa"/>
            <w:gridSpan w:val="6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 Основное мероприятие «Строительство нового пешеходного моста через реку Мелекесс в районе Верхнего пруда»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44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Выполнение работ по строительству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2652,98883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2652,98883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50406,78785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50406,78785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53059,77668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53059,77668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380" w:hRule="atLeast"/>
        </w:trPr>
        <w:tc>
          <w:tcPr>
            <w:tcW w:w="33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2652,98883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2652,98883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50406,78785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50406,78785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53059,77668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53059,77668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540" w:hRule="atLeast"/>
        </w:trPr>
        <w:tc>
          <w:tcPr>
            <w:tcW w:w="15450" w:type="dxa"/>
            <w:gridSpan w:val="5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 Основное мероприятие «Строительство инженерной инфраструктуры и автомобильной дороги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для земельных участков по  ул. Тараканова»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проекта планировки и проекта межевания территории на линейные сооружения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27,62500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27,62500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524,87500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524,87500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552,50000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552,50000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258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Выполнение инженерных изысканий, разработка проектно-сметной документации, государственная экспертиза проектно</w:t>
            </w:r>
            <w:r>
              <w:rPr>
                <w:rStyle w:val="68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-сметной</w:t>
            </w: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документации для строительства инженерной инфраструктуры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469,79500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469,79500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8926,10500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8926,10500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9395,90000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9395,90000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90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проектно-сметной документации, государственная экспертиза проектно-сметной документации для строительства автомобильной дороги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236,44500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236,44500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4492,45500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4492,45500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4728,90000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4728,90000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Строительство инженерной инфраструктуры 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93959,00000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4697,95000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89261,05000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89261,05000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93959,00000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93959,00000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Строительство автомобильной дороги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2364,45000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2364,45000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44924,55000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44924,55000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47289,00000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47289,00000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33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7796,26500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733,86500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7062,40000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148129,03500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13943,43500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134185,60000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155925,30000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14677,30000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141248,00000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540" w:hRule="atLeast"/>
        </w:trPr>
        <w:tc>
          <w:tcPr>
            <w:tcW w:w="15450" w:type="dxa"/>
            <w:gridSpan w:val="5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 Основное мероприятие «Строительство инженерной инфраструктуры и автомобильной дороги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для земельных участков по  ул. Восточной»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проекта планировки и проекта межевания территории на линейные сооружения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31,29500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31,29500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594,60500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594,60500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625,90000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625,90000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258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Выполнение инженерных изысканий, разработка проектно-сметной документации, государственная экспертиза проектно</w:t>
            </w:r>
            <w:r>
              <w:rPr>
                <w:rStyle w:val="68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-сметной</w:t>
            </w: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документации для строительства инженерной инфраструктуры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508,81500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508,81500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9667,48500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9667,48500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10176,30000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10176,30000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проектно-сметной документации, государственная экспертиза проектно-сметной документации для строительства автомобильной дороги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230,04500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230,04500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4370,85500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4370,85500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4600,90000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4600,90000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3.4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Строительство инженерной инфраструктуры 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5088,15000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5088,15000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96674,85000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96674,85000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101763,00000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101763,00000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Строительство автомобильной дороги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2300,45000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2300,45000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43708,55000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43708,55000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46009,00000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46009,00000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33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8158,75500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770,15500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7388,60000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155016,34500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14632,94500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140383,40000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163175,10000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15403,10000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147772,00000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620" w:hRule="atLeast"/>
        </w:trPr>
        <w:tc>
          <w:tcPr>
            <w:tcW w:w="15450" w:type="dxa"/>
            <w:gridSpan w:val="5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 Основное мероприятие «Строительство инженерной инфраструктуры и автомобильной дороги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для земельных участков по  ул. Менделеева»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4.1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проекта планировки и проекта межевания территории на линейные сооружения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17,79000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17,79000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338,01000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338,01000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355,80000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355,80000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260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Выполнение инженерных изысканий, разработка проектно-сметной документации, государственная экспертиза проектно</w:t>
            </w:r>
            <w:r>
              <w:rPr>
                <w:rStyle w:val="68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-сметной</w:t>
            </w: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документации для строительства инженерной инфраструктуры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266,04500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266,04500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5054,85500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5054,85500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5320,90000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5320,90000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проектно-сметной документации, государственная экспертиза проектно-сметной документации для строительства автомобильной дороги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178,83000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178,83000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3397,77000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3397,77000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3576,60000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3576,60000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4.4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Строительство инженерной инфраструктуры 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2660,45000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2660,45000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50548,55000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50548,55000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53209,00000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53209,00000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Строительство автомобильной дороги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1788,30000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1788,30000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33977,70000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33977,70000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35766,00000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35766,00000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33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4911,41500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462,66500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4448,75000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93316,88500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8790,63500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84526,25000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98228,30000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9253,30000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88975,00000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540" w:hRule="atLeast"/>
        </w:trPr>
        <w:tc>
          <w:tcPr>
            <w:tcW w:w="15450" w:type="dxa"/>
            <w:gridSpan w:val="5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 Основное мероприятие «Строительство инженерной инфраструктуры и автомобильной дороги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для земельных участков по  ул. Черемшанской»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5.1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проекта планировки и проекта межевания территории на линейные сооружения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28,10500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28,10500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533,99500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533,99500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562,10000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562,10000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258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Выполнение инженерных изысканий, разработка проектно-сметной документации, государственная экспертиза проектно</w:t>
            </w:r>
            <w:r>
              <w:rPr>
                <w:rStyle w:val="68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-сметной</w:t>
            </w: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документации для строительства инженерной инфраструктуры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477,13500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477,13500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9065,56500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9065,56500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9542,70000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9542,70000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5.3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проектно-сметной документации, государственная экспертиза проектно-сметной документации для строительства автомобильной дороги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249,21000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249,21000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4734,99000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4734,99000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4984,20000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4984,20000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Строительство инженерной инфраструктуры 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4771,35000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4771,35000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90655,65000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90655,65000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95427,00000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95427,00000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Строительство автомобильной дороги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2492,10000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2492,10000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47349,90000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47349,90000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49842,00000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49842,00000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33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8017,90000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754,45000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7263,45000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152340,10000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14334,55000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138005,55000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160358,00000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15089,00000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145269,00000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600" w:hRule="atLeast"/>
        </w:trPr>
        <w:tc>
          <w:tcPr>
            <w:tcW w:w="15450" w:type="dxa"/>
            <w:gridSpan w:val="5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 Основное мероприятие «Строительство инженерной инфраструктуры и автомобильной дороги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для земельных участков по  ул. Курчатова»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6.1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проекта планировки и проекта межевания территории на линейные сооружения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53,10500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53,10500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1008,99500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1008,99500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1062,10000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1062,10000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25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6.2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Выполнение инженерных изысканий, разработка проектно-сметной документации, государственная экспертиза проектно</w:t>
            </w:r>
            <w:r>
              <w:rPr>
                <w:rStyle w:val="68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-сметной</w:t>
            </w: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документации для строительства инженерной инфраструктуры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749,58000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749,58000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14242,02000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14242,02000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14991,60000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14991,60000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6.3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проектно-сметной документации, государственная экспертиза проектно-сметной документации для строительства автомобильной дороги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436,69500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436,69500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8297,20500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8297,20500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8733,90000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8733,90000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Строительство инженерной инфраструктуры 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7495,80000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7495,80000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142420,20000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142420,20000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149916,00000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149916,00000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Строительство автомобильной дороги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4366,95000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4366,95000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82972,05000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82972,05000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87339,00000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87339,00000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760" w:hRule="atLeast"/>
        </w:trPr>
        <w:tc>
          <w:tcPr>
            <w:tcW w:w="33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13102,13000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1239,38000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11862,75000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248940,47000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23548,22000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225392,25000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262042,60000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24787,60000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237255,00000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620" w:hRule="atLeast"/>
        </w:trPr>
        <w:tc>
          <w:tcPr>
            <w:tcW w:w="15450" w:type="dxa"/>
            <w:gridSpan w:val="5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 Основное мероприятие «Земельный участок в кадастровом квартале 73:08:020501 г.Димитровграда Ульяновской области»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230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Выполнение инженерных изысканий для подготовки документации по планировке территории и разработка проекта планировки территории и  проекта межевания территории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«УаИГ»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3400,08385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3400,08385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3400,08385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3400,08385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500" w:hRule="atLeast"/>
        </w:trPr>
        <w:tc>
          <w:tcPr>
            <w:tcW w:w="33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3400,08385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3400,08385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3400,08385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3400,08385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580" w:hRule="atLeast"/>
        </w:trPr>
        <w:tc>
          <w:tcPr>
            <w:tcW w:w="15450" w:type="dxa"/>
            <w:gridSpan w:val="5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 Основное мероприятие «Строительство инфраструктуры для объекта «Индивидуальная жилая застройка по улице Курчатова», расположенном на земельном участке с кадастровым номером 73:08:020501:2178».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50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Выполнение работ по строительству сетей электроснабжения, водоснабжения и водоотведения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99116,42938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70000,00000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29116,42938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99116,42938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70000,00000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29116,42938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50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8.2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Выполнение работ по строительству газораспределительного газопровода среднего и низкого давления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31248,51062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11248,51062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31248,51062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11248,51062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50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8.3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Технологическое присоединение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500" w:hRule="atLeast"/>
        </w:trPr>
        <w:tc>
          <w:tcPr>
            <w:tcW w:w="33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135364,94000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95000,00000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40364,94000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135364,94000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95000,00000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40364,94000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580" w:hRule="atLeast"/>
        </w:trPr>
        <w:tc>
          <w:tcPr>
            <w:tcW w:w="15450" w:type="dxa"/>
            <w:gridSpan w:val="5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 Основное мероприятие «Реконструкция сетей водоснабжения от НС 208 до ГОС (район ул.Промышленная)».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238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9.1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Выполнение инженерных изысканий, разработка проектно-сметной документации, государственная экспертиза проектно-сметной документации для реконструкции сетей водоснабжения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460,03000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460,03000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460,03000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460,03000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500" w:hRule="atLeast"/>
        </w:trPr>
        <w:tc>
          <w:tcPr>
            <w:tcW w:w="33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460,03000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460,03000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460,03000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460,03000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580" w:hRule="atLeast"/>
        </w:trPr>
        <w:tc>
          <w:tcPr>
            <w:tcW w:w="15450" w:type="dxa"/>
            <w:gridSpan w:val="5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 Основное мероприятие «Реконструкция сетей водоотведения (район Ипподром)».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240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10.1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Выполнение инженерных изысканий, разработка проектно-сметной документации, государственная экспертиза проектно-сметной документации для реконструкции сетей водоотведения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199,98000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199,98000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199,98000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199,98000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500" w:hRule="atLeast"/>
        </w:trPr>
        <w:tc>
          <w:tcPr>
            <w:tcW w:w="33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199,98000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199,98000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199,98000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199,98000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580" w:hRule="atLeast"/>
        </w:trPr>
        <w:tc>
          <w:tcPr>
            <w:tcW w:w="15450" w:type="dxa"/>
            <w:gridSpan w:val="5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 Основное мероприятие «Реконструкция КНС (район Ипподром)».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2200" w:hRule="atLeast"/>
        </w:trPr>
        <w:tc>
          <w:tcPr>
            <w:tcW w:w="5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11.1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Выполнение инженерных изысканий, разработка проектно-сметной документации, государственная экспертиза проектно-сметной документации для реконструкции КНС</w:t>
            </w:r>
          </w:p>
        </w:tc>
        <w:tc>
          <w:tcPr>
            <w:tcW w:w="6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39,99000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39,99000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39,99000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39,99000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500" w:hRule="atLeast"/>
        </w:trPr>
        <w:tc>
          <w:tcPr>
            <w:tcW w:w="33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39,99000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39,99000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39,99000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39,99000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1560" w:hRule="atLeast"/>
        </w:trPr>
        <w:tc>
          <w:tcPr>
            <w:tcW w:w="33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Всего по муниципальной  программе:</w:t>
            </w:r>
          </w:p>
        </w:tc>
        <w:tc>
          <w:tcPr>
            <w:tcW w:w="7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48739,53768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4100,08385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4157,00883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14913,66500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5203,20000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8502,83000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11862,75000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983514,56285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95000,00000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40364,94000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78983,16785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283359,63500</w:t>
            </w:r>
          </w:p>
        </w:tc>
        <w:tc>
          <w:tcPr>
            <w:tcW w:w="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98860,80000</w:t>
            </w:r>
          </w:p>
        </w:tc>
        <w:tc>
          <w:tcPr>
            <w:tcW w:w="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161553,77000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225392,25000</w:t>
            </w:r>
          </w:p>
        </w:tc>
        <w:tc>
          <w:tcPr>
            <w:tcW w:w="7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1032254,10053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99100,08385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40364,94000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83140,17668</w:t>
            </w:r>
          </w:p>
        </w:tc>
        <w:tc>
          <w:tcPr>
            <w:tcW w:w="4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298273,30000</w:t>
            </w:r>
          </w:p>
        </w:tc>
        <w:tc>
          <w:tcPr>
            <w:tcW w:w="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104064,00000</w:t>
            </w:r>
          </w:p>
        </w:tc>
        <w:tc>
          <w:tcPr>
            <w:tcW w:w="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170056,60000</w:t>
            </w:r>
          </w:p>
        </w:tc>
        <w:tc>
          <w:tcPr>
            <w:tcW w:w="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237255,00000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300" w:hRule="atLeast"/>
        </w:trPr>
        <w:tc>
          <w:tcPr>
            <w:tcW w:w="15450" w:type="dxa"/>
            <w:gridSpan w:val="58"/>
            <w:tcBorders>
              <w:top w:val="single" w:color="000000" w:sz="2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* средства бюджета города, источником финансового обеспечения которых являются средства областного бюджета, указываются в виде межбюджетных трансфертов, возможных к получению на реализацию мероприятий муниципальной программы.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3" w:type="dxa"/>
          <w:trHeight w:val="300" w:hRule="atLeast"/>
        </w:trPr>
        <w:tc>
          <w:tcPr>
            <w:tcW w:w="1500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** по согласованию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».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134" w:right="211" w:bottom="566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line="100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10</w:t>
    </w:r>
    <w:r>
      <w:rPr>
        <w:rStyle w:val="7"/>
      </w:rPr>
      <w:fldChar w:fldCharType="end"/>
    </w:r>
  </w:p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hideGrammaticalErrors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E2536"/>
    <w:rsid w:val="000011D2"/>
    <w:rsid w:val="00011329"/>
    <w:rsid w:val="0001691F"/>
    <w:rsid w:val="000234F9"/>
    <w:rsid w:val="000500C7"/>
    <w:rsid w:val="00052B26"/>
    <w:rsid w:val="0005781B"/>
    <w:rsid w:val="00060C85"/>
    <w:rsid w:val="00070368"/>
    <w:rsid w:val="00070A06"/>
    <w:rsid w:val="00083BA2"/>
    <w:rsid w:val="000A76A5"/>
    <w:rsid w:val="000B533B"/>
    <w:rsid w:val="000B561A"/>
    <w:rsid w:val="000B6C3D"/>
    <w:rsid w:val="000C5BB3"/>
    <w:rsid w:val="000D6AA6"/>
    <w:rsid w:val="000E643E"/>
    <w:rsid w:val="000F480D"/>
    <w:rsid w:val="000F55D1"/>
    <w:rsid w:val="0011598D"/>
    <w:rsid w:val="0011767E"/>
    <w:rsid w:val="0013217D"/>
    <w:rsid w:val="00136E40"/>
    <w:rsid w:val="00140FAE"/>
    <w:rsid w:val="00151C2A"/>
    <w:rsid w:val="00154779"/>
    <w:rsid w:val="0015631F"/>
    <w:rsid w:val="001601BB"/>
    <w:rsid w:val="00165769"/>
    <w:rsid w:val="00165822"/>
    <w:rsid w:val="00173D5B"/>
    <w:rsid w:val="00183D90"/>
    <w:rsid w:val="00185392"/>
    <w:rsid w:val="00187715"/>
    <w:rsid w:val="001947F8"/>
    <w:rsid w:val="001A0717"/>
    <w:rsid w:val="001A1179"/>
    <w:rsid w:val="001A6F7D"/>
    <w:rsid w:val="001B20B0"/>
    <w:rsid w:val="001B3B8F"/>
    <w:rsid w:val="001F3743"/>
    <w:rsid w:val="00215480"/>
    <w:rsid w:val="00216642"/>
    <w:rsid w:val="00216E32"/>
    <w:rsid w:val="002174E5"/>
    <w:rsid w:val="00222EB6"/>
    <w:rsid w:val="00222F18"/>
    <w:rsid w:val="00225731"/>
    <w:rsid w:val="00225E69"/>
    <w:rsid w:val="002261FF"/>
    <w:rsid w:val="00240471"/>
    <w:rsid w:val="00242E52"/>
    <w:rsid w:val="0024555D"/>
    <w:rsid w:val="00255158"/>
    <w:rsid w:val="00261BAE"/>
    <w:rsid w:val="00275BC4"/>
    <w:rsid w:val="0029240E"/>
    <w:rsid w:val="002970D6"/>
    <w:rsid w:val="002971BE"/>
    <w:rsid w:val="002A1489"/>
    <w:rsid w:val="002A423F"/>
    <w:rsid w:val="002B2069"/>
    <w:rsid w:val="002C022E"/>
    <w:rsid w:val="002C0E2B"/>
    <w:rsid w:val="002C7D62"/>
    <w:rsid w:val="002D7EA2"/>
    <w:rsid w:val="002E2F94"/>
    <w:rsid w:val="002E5A8A"/>
    <w:rsid w:val="0030223D"/>
    <w:rsid w:val="0030325D"/>
    <w:rsid w:val="003051F0"/>
    <w:rsid w:val="0030578C"/>
    <w:rsid w:val="00305FD1"/>
    <w:rsid w:val="00312398"/>
    <w:rsid w:val="00320F55"/>
    <w:rsid w:val="003478C1"/>
    <w:rsid w:val="00350300"/>
    <w:rsid w:val="00353F10"/>
    <w:rsid w:val="00360C44"/>
    <w:rsid w:val="003620A1"/>
    <w:rsid w:val="00365093"/>
    <w:rsid w:val="003752AC"/>
    <w:rsid w:val="00376EF6"/>
    <w:rsid w:val="003845DC"/>
    <w:rsid w:val="003911C7"/>
    <w:rsid w:val="003A02F9"/>
    <w:rsid w:val="003B6E80"/>
    <w:rsid w:val="003B6EB4"/>
    <w:rsid w:val="003C3DC8"/>
    <w:rsid w:val="003D77F7"/>
    <w:rsid w:val="003E6A4E"/>
    <w:rsid w:val="003F1B3B"/>
    <w:rsid w:val="00406A89"/>
    <w:rsid w:val="00412E0C"/>
    <w:rsid w:val="0041360B"/>
    <w:rsid w:val="00417428"/>
    <w:rsid w:val="00420CBB"/>
    <w:rsid w:val="00427A6F"/>
    <w:rsid w:val="00452C71"/>
    <w:rsid w:val="00456DA3"/>
    <w:rsid w:val="00466194"/>
    <w:rsid w:val="00470439"/>
    <w:rsid w:val="00471E51"/>
    <w:rsid w:val="0048109C"/>
    <w:rsid w:val="00484262"/>
    <w:rsid w:val="00495C3D"/>
    <w:rsid w:val="004A12AB"/>
    <w:rsid w:val="004C37A7"/>
    <w:rsid w:val="004E7737"/>
    <w:rsid w:val="004F5364"/>
    <w:rsid w:val="004F5912"/>
    <w:rsid w:val="005055A1"/>
    <w:rsid w:val="005075C2"/>
    <w:rsid w:val="005115BD"/>
    <w:rsid w:val="00514E6E"/>
    <w:rsid w:val="005470B8"/>
    <w:rsid w:val="0058279B"/>
    <w:rsid w:val="005955F4"/>
    <w:rsid w:val="005A6681"/>
    <w:rsid w:val="005B549F"/>
    <w:rsid w:val="005D0F76"/>
    <w:rsid w:val="005D2309"/>
    <w:rsid w:val="005D3B82"/>
    <w:rsid w:val="005E6D6C"/>
    <w:rsid w:val="005F01D5"/>
    <w:rsid w:val="005F763F"/>
    <w:rsid w:val="005F7FF7"/>
    <w:rsid w:val="00601D45"/>
    <w:rsid w:val="00607253"/>
    <w:rsid w:val="00612903"/>
    <w:rsid w:val="00633BA1"/>
    <w:rsid w:val="00644E46"/>
    <w:rsid w:val="0065419C"/>
    <w:rsid w:val="0065425C"/>
    <w:rsid w:val="00667530"/>
    <w:rsid w:val="006815C3"/>
    <w:rsid w:val="00693D7F"/>
    <w:rsid w:val="006B41D4"/>
    <w:rsid w:val="006D05BA"/>
    <w:rsid w:val="00712A48"/>
    <w:rsid w:val="00712FF2"/>
    <w:rsid w:val="00717BE9"/>
    <w:rsid w:val="0074174B"/>
    <w:rsid w:val="0075001B"/>
    <w:rsid w:val="007526C1"/>
    <w:rsid w:val="007972D5"/>
    <w:rsid w:val="007A6BCC"/>
    <w:rsid w:val="007C0F62"/>
    <w:rsid w:val="007C781D"/>
    <w:rsid w:val="007E55ED"/>
    <w:rsid w:val="007E6AD7"/>
    <w:rsid w:val="007F0334"/>
    <w:rsid w:val="007F2895"/>
    <w:rsid w:val="007F3958"/>
    <w:rsid w:val="007F74A9"/>
    <w:rsid w:val="0080055B"/>
    <w:rsid w:val="00802657"/>
    <w:rsid w:val="0081200F"/>
    <w:rsid w:val="008226CB"/>
    <w:rsid w:val="008265F9"/>
    <w:rsid w:val="00837FEE"/>
    <w:rsid w:val="0084495B"/>
    <w:rsid w:val="00851C2C"/>
    <w:rsid w:val="00860CCC"/>
    <w:rsid w:val="00870847"/>
    <w:rsid w:val="00875CFD"/>
    <w:rsid w:val="00886218"/>
    <w:rsid w:val="00886F23"/>
    <w:rsid w:val="00890411"/>
    <w:rsid w:val="00891856"/>
    <w:rsid w:val="00892A15"/>
    <w:rsid w:val="008A190B"/>
    <w:rsid w:val="008A2DA7"/>
    <w:rsid w:val="008A2E13"/>
    <w:rsid w:val="008B51BD"/>
    <w:rsid w:val="008C1B57"/>
    <w:rsid w:val="008D1795"/>
    <w:rsid w:val="008E1456"/>
    <w:rsid w:val="008F089E"/>
    <w:rsid w:val="008F2172"/>
    <w:rsid w:val="008F45C1"/>
    <w:rsid w:val="009332B7"/>
    <w:rsid w:val="00947979"/>
    <w:rsid w:val="00966724"/>
    <w:rsid w:val="0096765C"/>
    <w:rsid w:val="00970F6F"/>
    <w:rsid w:val="009770D4"/>
    <w:rsid w:val="00992E17"/>
    <w:rsid w:val="009935E4"/>
    <w:rsid w:val="009A0674"/>
    <w:rsid w:val="009B101C"/>
    <w:rsid w:val="009C5751"/>
    <w:rsid w:val="009D14BF"/>
    <w:rsid w:val="009D4203"/>
    <w:rsid w:val="009E68A0"/>
    <w:rsid w:val="009F1045"/>
    <w:rsid w:val="00A0742F"/>
    <w:rsid w:val="00A162CE"/>
    <w:rsid w:val="00A176E6"/>
    <w:rsid w:val="00A2361C"/>
    <w:rsid w:val="00A24346"/>
    <w:rsid w:val="00A264D7"/>
    <w:rsid w:val="00A35039"/>
    <w:rsid w:val="00A37667"/>
    <w:rsid w:val="00A4163F"/>
    <w:rsid w:val="00A56869"/>
    <w:rsid w:val="00A67123"/>
    <w:rsid w:val="00A67A64"/>
    <w:rsid w:val="00A77111"/>
    <w:rsid w:val="00A815A5"/>
    <w:rsid w:val="00A85611"/>
    <w:rsid w:val="00A96C52"/>
    <w:rsid w:val="00AA3118"/>
    <w:rsid w:val="00AA5F1D"/>
    <w:rsid w:val="00AB49C8"/>
    <w:rsid w:val="00AD2A9F"/>
    <w:rsid w:val="00AE2536"/>
    <w:rsid w:val="00AE42BC"/>
    <w:rsid w:val="00AE7882"/>
    <w:rsid w:val="00B0030B"/>
    <w:rsid w:val="00B06ACC"/>
    <w:rsid w:val="00B23D99"/>
    <w:rsid w:val="00B241F9"/>
    <w:rsid w:val="00B37CAC"/>
    <w:rsid w:val="00B41D9C"/>
    <w:rsid w:val="00B83F70"/>
    <w:rsid w:val="00B90E8A"/>
    <w:rsid w:val="00B94EC3"/>
    <w:rsid w:val="00B9793E"/>
    <w:rsid w:val="00BA395F"/>
    <w:rsid w:val="00BB3C2F"/>
    <w:rsid w:val="00BB7122"/>
    <w:rsid w:val="00BC0C60"/>
    <w:rsid w:val="00BD1C64"/>
    <w:rsid w:val="00BD5211"/>
    <w:rsid w:val="00BF270A"/>
    <w:rsid w:val="00BF3225"/>
    <w:rsid w:val="00BF5335"/>
    <w:rsid w:val="00C121AF"/>
    <w:rsid w:val="00C12E9D"/>
    <w:rsid w:val="00C212E6"/>
    <w:rsid w:val="00C30982"/>
    <w:rsid w:val="00C37BF8"/>
    <w:rsid w:val="00C52229"/>
    <w:rsid w:val="00C56AC4"/>
    <w:rsid w:val="00C57760"/>
    <w:rsid w:val="00C740A8"/>
    <w:rsid w:val="00C85CED"/>
    <w:rsid w:val="00C86885"/>
    <w:rsid w:val="00C945DA"/>
    <w:rsid w:val="00CA26C1"/>
    <w:rsid w:val="00CA3731"/>
    <w:rsid w:val="00CA3A98"/>
    <w:rsid w:val="00CE78EF"/>
    <w:rsid w:val="00CF2F6B"/>
    <w:rsid w:val="00D30A1F"/>
    <w:rsid w:val="00D635FA"/>
    <w:rsid w:val="00D76280"/>
    <w:rsid w:val="00D84ACB"/>
    <w:rsid w:val="00D97AE3"/>
    <w:rsid w:val="00DA4B7C"/>
    <w:rsid w:val="00DB0CE3"/>
    <w:rsid w:val="00DC1F64"/>
    <w:rsid w:val="00DE011A"/>
    <w:rsid w:val="00DE2DD1"/>
    <w:rsid w:val="00E135AF"/>
    <w:rsid w:val="00E350A4"/>
    <w:rsid w:val="00E35C0A"/>
    <w:rsid w:val="00E51330"/>
    <w:rsid w:val="00E70E67"/>
    <w:rsid w:val="00E7179A"/>
    <w:rsid w:val="00E740B8"/>
    <w:rsid w:val="00E74DAE"/>
    <w:rsid w:val="00E82F3F"/>
    <w:rsid w:val="00E914F1"/>
    <w:rsid w:val="00E96B3C"/>
    <w:rsid w:val="00EB3527"/>
    <w:rsid w:val="00EC199A"/>
    <w:rsid w:val="00EC37CE"/>
    <w:rsid w:val="00EC6D3B"/>
    <w:rsid w:val="00ED3FBB"/>
    <w:rsid w:val="00ED63C1"/>
    <w:rsid w:val="00ED7640"/>
    <w:rsid w:val="00EE6F20"/>
    <w:rsid w:val="00EF5FAF"/>
    <w:rsid w:val="00F05A60"/>
    <w:rsid w:val="00F24ED2"/>
    <w:rsid w:val="00F26A92"/>
    <w:rsid w:val="00F3011F"/>
    <w:rsid w:val="00F32C22"/>
    <w:rsid w:val="00F4322E"/>
    <w:rsid w:val="00F45530"/>
    <w:rsid w:val="00F5073E"/>
    <w:rsid w:val="00F51749"/>
    <w:rsid w:val="00F562B5"/>
    <w:rsid w:val="00F60299"/>
    <w:rsid w:val="00F65C85"/>
    <w:rsid w:val="00F75CFB"/>
    <w:rsid w:val="00F77068"/>
    <w:rsid w:val="00F77A00"/>
    <w:rsid w:val="00F82B0E"/>
    <w:rsid w:val="00F93406"/>
    <w:rsid w:val="00F94E86"/>
    <w:rsid w:val="00F96334"/>
    <w:rsid w:val="00FA414B"/>
    <w:rsid w:val="00FB3CD1"/>
    <w:rsid w:val="00FB58EA"/>
    <w:rsid w:val="00FC39B3"/>
    <w:rsid w:val="00FC3D52"/>
    <w:rsid w:val="00FC643B"/>
    <w:rsid w:val="00FE2B2D"/>
    <w:rsid w:val="00FE31A7"/>
    <w:rsid w:val="00FF0CE2"/>
    <w:rsid w:val="00FF528D"/>
    <w:rsid w:val="00FF603C"/>
    <w:rsid w:val="00FF6249"/>
    <w:rsid w:val="0AB04A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7">
    <w:name w:val="page number"/>
    <w:basedOn w:val="3"/>
    <w:uiPriority w:val="0"/>
  </w:style>
  <w:style w:type="character" w:styleId="8">
    <w:name w:val="Strong"/>
    <w:basedOn w:val="3"/>
    <w:qFormat/>
    <w:uiPriority w:val="0"/>
    <w:rPr>
      <w:b/>
      <w:bCs/>
    </w:rPr>
  </w:style>
  <w:style w:type="paragraph" w:styleId="9">
    <w:name w:val="Balloon Text"/>
    <w:basedOn w:val="1"/>
    <w:link w:val="42"/>
    <w:uiPriority w:val="0"/>
    <w:pPr>
      <w:suppressAutoHyphens/>
      <w:spacing w:after="0" w:line="240" w:lineRule="auto"/>
    </w:pPr>
    <w:rPr>
      <w:rFonts w:ascii="Tahoma" w:hAnsi="Tahoma" w:eastAsia="Times New Roman" w:cs="Tahoma"/>
      <w:sz w:val="16"/>
      <w:szCs w:val="16"/>
      <w:lang w:eastAsia="ar-SA"/>
    </w:rPr>
  </w:style>
  <w:style w:type="paragraph" w:styleId="10">
    <w:name w:val="caption"/>
    <w:basedOn w:val="1"/>
    <w:next w:val="1"/>
    <w:qFormat/>
    <w:uiPriority w:val="0"/>
    <w:pPr>
      <w:spacing w:line="240" w:lineRule="auto"/>
    </w:pPr>
    <w:rPr>
      <w:rFonts w:ascii="Times New Roman" w:hAnsi="Times New Roman" w:eastAsia="Times New Roman" w:cs="Times New Roman"/>
      <w:b/>
      <w:bCs/>
      <w:color w:val="4F81BD"/>
      <w:sz w:val="18"/>
      <w:szCs w:val="18"/>
    </w:rPr>
  </w:style>
  <w:style w:type="paragraph" w:styleId="11">
    <w:name w:val="header"/>
    <w:basedOn w:val="1"/>
    <w:link w:val="19"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2">
    <w:name w:val="Body Text"/>
    <w:basedOn w:val="1"/>
    <w:link w:val="39"/>
    <w:uiPriority w:val="0"/>
    <w:pPr>
      <w:suppressAutoHyphens/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3">
    <w:name w:val="footer"/>
    <w:basedOn w:val="1"/>
    <w:link w:val="21"/>
    <w:uiPriority w:val="9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4">
    <w:name w:val="List"/>
    <w:basedOn w:val="12"/>
    <w:uiPriority w:val="0"/>
    <w:rPr>
      <w:rFonts w:cs="Mangal"/>
    </w:rPr>
  </w:style>
  <w:style w:type="paragraph" w:styleId="15">
    <w:name w:val="Normal (Web)"/>
    <w:basedOn w:val="1"/>
    <w:link w:val="64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</w:rPr>
  </w:style>
  <w:style w:type="paragraph" w:styleId="16">
    <w:name w:val="HTML Preformatted"/>
    <w:basedOn w:val="1"/>
    <w:link w:val="62"/>
    <w:unhideWhenUsed/>
    <w:qFormat/>
    <w:uiPriority w:val="0"/>
    <w:pPr>
      <w:pBdr>
        <w:top w:val="single" w:color="EDEDED" w:sz="6" w:space="15"/>
        <w:bottom w:val="single" w:color="EDEDED" w:sz="6" w:space="15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0" w:after="300" w:line="240" w:lineRule="auto"/>
    </w:pPr>
    <w:rPr>
      <w:rFonts w:ascii="Courier New" w:hAnsi="Courier New" w:eastAsia="Times New Roman" w:cs="Courier New"/>
      <w:color w:val="2080AD"/>
      <w:sz w:val="24"/>
      <w:szCs w:val="24"/>
    </w:rPr>
  </w:style>
  <w:style w:type="table" w:styleId="17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1 Знак"/>
    <w:basedOn w:val="3"/>
    <w:link w:val="2"/>
    <w:uiPriority w:val="0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19">
    <w:name w:val="Верхний колонтитул Знак"/>
    <w:basedOn w:val="3"/>
    <w:link w:val="11"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20">
    <w:name w:val="ConsPlusTitle"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Arial" w:cs="Times New Roman"/>
      <w:b/>
      <w:bCs/>
      <w:sz w:val="24"/>
      <w:szCs w:val="24"/>
      <w:lang w:val="ru-RU" w:eastAsia="ar-SA" w:bidi="ar-SA"/>
    </w:rPr>
  </w:style>
  <w:style w:type="character" w:customStyle="1" w:styleId="21">
    <w:name w:val="Нижний колонтитул Знак"/>
    <w:basedOn w:val="3"/>
    <w:link w:val="13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22">
    <w:name w:val="msonormalcxspmidd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paragraph" w:styleId="24">
    <w:name w:val="List Paragraph"/>
    <w:basedOn w:val="1"/>
    <w:link w:val="66"/>
    <w:qFormat/>
    <w:uiPriority w:val="1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5">
    <w:name w:val="Таблица"/>
    <w:basedOn w:val="1"/>
    <w:link w:val="26"/>
    <w:qFormat/>
    <w:uiPriority w:val="99"/>
    <w:pPr>
      <w:autoSpaceDE w:val="0"/>
      <w:autoSpaceDN w:val="0"/>
      <w:adjustRightInd w:val="0"/>
      <w:spacing w:after="120"/>
    </w:pPr>
    <w:rPr>
      <w:rFonts w:ascii="Arial" w:hAnsi="Arial" w:eastAsia="Calibri" w:cs="Times New Roman"/>
      <w:sz w:val="20"/>
      <w:szCs w:val="20"/>
    </w:rPr>
  </w:style>
  <w:style w:type="character" w:customStyle="1" w:styleId="26">
    <w:name w:val="Таблица Знак"/>
    <w:link w:val="25"/>
    <w:uiPriority w:val="99"/>
    <w:rPr>
      <w:rFonts w:ascii="Arial" w:hAnsi="Arial" w:eastAsia="Calibri" w:cs="Times New Roman"/>
      <w:sz w:val="20"/>
      <w:szCs w:val="20"/>
    </w:rPr>
  </w:style>
  <w:style w:type="character" w:customStyle="1" w:styleId="27">
    <w:name w:val="Absatz-Standardschriftart"/>
    <w:uiPriority w:val="0"/>
  </w:style>
  <w:style w:type="character" w:customStyle="1" w:styleId="28">
    <w:name w:val="WW-Absatz-Standardschriftart"/>
    <w:uiPriority w:val="0"/>
  </w:style>
  <w:style w:type="character" w:customStyle="1" w:styleId="29">
    <w:name w:val="WW-Absatz-Standardschriftart1"/>
    <w:qFormat/>
    <w:uiPriority w:val="0"/>
  </w:style>
  <w:style w:type="character" w:customStyle="1" w:styleId="30">
    <w:name w:val="WW-Absatz-Standardschriftart11"/>
    <w:uiPriority w:val="0"/>
  </w:style>
  <w:style w:type="character" w:customStyle="1" w:styleId="31">
    <w:name w:val="WW-Absatz-Standardschriftart111"/>
    <w:uiPriority w:val="0"/>
  </w:style>
  <w:style w:type="character" w:customStyle="1" w:styleId="32">
    <w:name w:val="WW-Absatz-Standardschriftart1111"/>
    <w:uiPriority w:val="0"/>
  </w:style>
  <w:style w:type="character" w:customStyle="1" w:styleId="33">
    <w:name w:val="WW-Absatz-Standardschriftart11111"/>
    <w:uiPriority w:val="0"/>
  </w:style>
  <w:style w:type="character" w:customStyle="1" w:styleId="34">
    <w:name w:val="WW8Num1z0"/>
    <w:uiPriority w:val="0"/>
    <w:rPr>
      <w:rFonts w:ascii="Symbol" w:hAnsi="Symbol"/>
    </w:rPr>
  </w:style>
  <w:style w:type="character" w:customStyle="1" w:styleId="35">
    <w:name w:val="WW8Num1z2"/>
    <w:uiPriority w:val="0"/>
    <w:rPr>
      <w:rFonts w:ascii="Wingdings" w:hAnsi="Wingdings"/>
    </w:rPr>
  </w:style>
  <w:style w:type="character" w:customStyle="1" w:styleId="36">
    <w:name w:val="WW8Num1z4"/>
    <w:uiPriority w:val="0"/>
    <w:rPr>
      <w:rFonts w:ascii="Courier New" w:hAnsi="Courier New" w:cs="Courier New"/>
    </w:rPr>
  </w:style>
  <w:style w:type="character" w:customStyle="1" w:styleId="37">
    <w:name w:val="Основной шрифт абзаца1"/>
    <w:uiPriority w:val="0"/>
  </w:style>
  <w:style w:type="paragraph" w:customStyle="1" w:styleId="38">
    <w:name w:val="Заголовок"/>
    <w:basedOn w:val="1"/>
    <w:next w:val="12"/>
    <w:uiPriority w:val="0"/>
    <w:pPr>
      <w:keepNext/>
      <w:suppressAutoHyphens/>
      <w:spacing w:before="240" w:after="120" w:line="240" w:lineRule="auto"/>
    </w:pPr>
    <w:rPr>
      <w:rFonts w:ascii="Arial" w:hAnsi="Arial" w:eastAsia="Lucida Sans Unicode" w:cs="Mangal"/>
      <w:sz w:val="28"/>
      <w:szCs w:val="28"/>
      <w:lang w:eastAsia="ar-SA"/>
    </w:rPr>
  </w:style>
  <w:style w:type="character" w:customStyle="1" w:styleId="39">
    <w:name w:val="Основной текст Знак"/>
    <w:basedOn w:val="3"/>
    <w:link w:val="12"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40">
    <w:name w:val="Название1"/>
    <w:basedOn w:val="1"/>
    <w:uiPriority w:val="0"/>
    <w:pPr>
      <w:suppressLineNumbers/>
      <w:suppressAutoHyphen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eastAsia="ar-SA"/>
    </w:rPr>
  </w:style>
  <w:style w:type="paragraph" w:customStyle="1" w:styleId="41">
    <w:name w:val="Указатель1"/>
    <w:basedOn w:val="1"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Mangal"/>
      <w:sz w:val="24"/>
      <w:szCs w:val="24"/>
      <w:lang w:eastAsia="ar-SA"/>
    </w:rPr>
  </w:style>
  <w:style w:type="character" w:customStyle="1" w:styleId="42">
    <w:name w:val="Текст выноски Знак"/>
    <w:basedOn w:val="3"/>
    <w:link w:val="9"/>
    <w:qFormat/>
    <w:uiPriority w:val="0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43">
    <w:name w:val="ConsPlusNonformat"/>
    <w:uiPriority w:val="0"/>
    <w:pPr>
      <w:widowControl w:val="0"/>
      <w:suppressAutoHyphens/>
      <w:autoSpaceDE w:val="0"/>
      <w:spacing w:after="0" w:line="240" w:lineRule="auto"/>
    </w:pPr>
    <w:rPr>
      <w:rFonts w:ascii="Courier New" w:hAnsi="Courier New" w:eastAsia="Arial" w:cs="Courier New"/>
      <w:sz w:val="20"/>
      <w:szCs w:val="20"/>
      <w:lang w:val="ru-RU" w:eastAsia="ar-SA" w:bidi="ar-SA"/>
    </w:rPr>
  </w:style>
  <w:style w:type="paragraph" w:customStyle="1" w:styleId="44">
    <w:name w:val="ConsPlusNormal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45">
    <w:name w:val="Содержимое таблицы"/>
    <w:basedOn w:val="1"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46">
    <w:name w:val="Заголовок таблицы"/>
    <w:basedOn w:val="45"/>
    <w:uiPriority w:val="0"/>
    <w:pPr>
      <w:jc w:val="center"/>
    </w:pPr>
    <w:rPr>
      <w:b/>
      <w:bCs/>
    </w:rPr>
  </w:style>
  <w:style w:type="paragraph" w:customStyle="1" w:styleId="47">
    <w:name w:val="Содержимое врезки"/>
    <w:basedOn w:val="12"/>
    <w:uiPriority w:val="0"/>
  </w:style>
  <w:style w:type="paragraph" w:customStyle="1" w:styleId="48">
    <w:name w:val="Приложение"/>
    <w:basedOn w:val="1"/>
    <w:link w:val="49"/>
    <w:qFormat/>
    <w:uiPriority w:val="0"/>
    <w:pPr>
      <w:spacing w:after="0"/>
      <w:jc w:val="right"/>
    </w:pPr>
    <w:rPr>
      <w:rFonts w:ascii="Times New Roman" w:hAnsi="Times New Roman" w:eastAsia="Calibri" w:cs="Times New Roman"/>
      <w:sz w:val="24"/>
      <w:szCs w:val="24"/>
    </w:rPr>
  </w:style>
  <w:style w:type="character" w:customStyle="1" w:styleId="49">
    <w:name w:val="Приложение Знак"/>
    <w:link w:val="48"/>
    <w:qFormat/>
    <w:uiPriority w:val="0"/>
    <w:rPr>
      <w:rFonts w:ascii="Times New Roman" w:hAnsi="Times New Roman" w:eastAsia="Calibri" w:cs="Times New Roman"/>
      <w:sz w:val="24"/>
      <w:szCs w:val="24"/>
    </w:rPr>
  </w:style>
  <w:style w:type="paragraph" w:customStyle="1" w:styleId="50">
    <w:name w:val="ConsPlusCel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customStyle="1" w:styleId="51">
    <w:name w:val="Прижатый влево"/>
    <w:basedOn w:val="1"/>
    <w:next w:val="1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52">
    <w:name w:val="Основной текст с отступом 21"/>
    <w:basedOn w:val="1"/>
    <w:qFormat/>
    <w:uiPriority w:val="0"/>
    <w:pPr>
      <w:spacing w:after="0" w:line="240" w:lineRule="auto"/>
      <w:ind w:firstLine="709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customStyle="1" w:styleId="53">
    <w:name w:val="Footer Char"/>
    <w:basedOn w:val="3"/>
    <w:qFormat/>
    <w:locked/>
    <w:uiPriority w:val="0"/>
    <w:rPr>
      <w:rFonts w:hint="default" w:ascii="Times New Roman" w:hAnsi="Times New Roman" w:cs="Times New Roman"/>
      <w:sz w:val="24"/>
      <w:szCs w:val="24"/>
      <w:lang w:eastAsia="ru-RU"/>
    </w:rPr>
  </w:style>
  <w:style w:type="paragraph" w:customStyle="1" w:styleId="54">
    <w:name w:val="Знак Знак Знак1 Знак"/>
    <w:basedOn w:val="1"/>
    <w:uiPriority w:val="0"/>
    <w:pPr>
      <w:spacing w:after="160" w:line="240" w:lineRule="exact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55">
    <w:name w:val="Знак Знак Знак Знак"/>
    <w:basedOn w:val="1"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customStyle="1" w:styleId="56">
    <w:name w:val="Знак Знак Знак Знак Знак Знак Знак"/>
    <w:basedOn w:val="1"/>
    <w:uiPriority w:val="0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paragraph" w:customStyle="1" w:styleId="57">
    <w:name w:val="Заголовок_табл_рис"/>
    <w:basedOn w:val="10"/>
    <w:link w:val="58"/>
    <w:qFormat/>
    <w:uiPriority w:val="0"/>
    <w:pPr>
      <w:keepNext/>
      <w:spacing w:before="120" w:after="60"/>
      <w:ind w:left="-142" w:firstLine="709"/>
      <w:jc w:val="right"/>
    </w:pPr>
    <w:rPr>
      <w:rFonts w:eastAsia="Calibri"/>
      <w:b w:val="0"/>
      <w:color w:val="auto"/>
      <w:sz w:val="24"/>
      <w:szCs w:val="24"/>
      <w:lang w:eastAsia="en-US"/>
    </w:rPr>
  </w:style>
  <w:style w:type="character" w:customStyle="1" w:styleId="58">
    <w:name w:val="Заголовок_табл_рис Знак"/>
    <w:link w:val="57"/>
    <w:qFormat/>
    <w:uiPriority w:val="0"/>
    <w:rPr>
      <w:rFonts w:ascii="Times New Roman" w:hAnsi="Times New Roman" w:eastAsia="Calibri" w:cs="Times New Roman"/>
      <w:bCs/>
      <w:sz w:val="24"/>
      <w:szCs w:val="24"/>
      <w:lang w:eastAsia="en-US"/>
    </w:rPr>
  </w:style>
  <w:style w:type="paragraph" w:styleId="59">
    <w:name w:val="No Spacing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60">
    <w:name w:val="Знак Знак1"/>
    <w:basedOn w:val="3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1">
    <w:name w:val="apple-converted-space"/>
    <w:basedOn w:val="3"/>
    <w:qFormat/>
    <w:uiPriority w:val="0"/>
  </w:style>
  <w:style w:type="character" w:customStyle="1" w:styleId="62">
    <w:name w:val="Стандартный HTML Знак"/>
    <w:basedOn w:val="3"/>
    <w:link w:val="16"/>
    <w:qFormat/>
    <w:uiPriority w:val="0"/>
    <w:rPr>
      <w:rFonts w:ascii="Courier New" w:hAnsi="Courier New" w:eastAsia="Times New Roman" w:cs="Courier New"/>
      <w:color w:val="2080AD"/>
      <w:sz w:val="24"/>
      <w:szCs w:val="24"/>
      <w:shd w:val="clear" w:color="auto" w:fill="FAFAFA"/>
    </w:rPr>
  </w:style>
  <w:style w:type="paragraph" w:customStyle="1" w:styleId="63">
    <w:name w:val="juscontext"/>
    <w:basedOn w:val="1"/>
    <w:qFormat/>
    <w:uiPriority w:val="0"/>
    <w:pPr>
      <w:spacing w:after="300" w:line="240" w:lineRule="auto"/>
      <w:jc w:val="both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4">
    <w:name w:val="Обычный (веб) Знак"/>
    <w:link w:val="15"/>
    <w:qFormat/>
    <w:uiPriority w:val="0"/>
    <w:rPr>
      <w:rFonts w:ascii="Times New Roman" w:hAnsi="Times New Roman" w:eastAsia="Times New Roman" w:cs="Times New Roman"/>
      <w:sz w:val="18"/>
      <w:szCs w:val="18"/>
    </w:rPr>
  </w:style>
  <w:style w:type="paragraph" w:customStyle="1" w:styleId="65">
    <w:name w:val="consplus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</w:rPr>
  </w:style>
  <w:style w:type="character" w:customStyle="1" w:styleId="66">
    <w:name w:val="Абзац списка Знак"/>
    <w:link w:val="24"/>
    <w:qFormat/>
    <w:locked/>
    <w:uiPriority w:val="1"/>
    <w:rPr>
      <w:rFonts w:ascii="Times New Roman" w:hAnsi="Times New Roman" w:eastAsia="Times New Roman" w:cs="Times New Roman"/>
      <w:sz w:val="24"/>
      <w:szCs w:val="24"/>
    </w:rPr>
  </w:style>
  <w:style w:type="character" w:customStyle="1" w:styleId="67">
    <w:name w:val="font51"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68">
    <w:name w:val="font31"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7472-F56C-4A11-8F4E-1C2061AF45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2397</Words>
  <Characters>13663</Characters>
  <Lines>113</Lines>
  <Paragraphs>32</Paragraphs>
  <TotalTime>7</TotalTime>
  <ScaleCrop>false</ScaleCrop>
  <LinksUpToDate>false</LinksUpToDate>
  <CharactersWithSpaces>16028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2019-10-25T05:28:00Z</dcterms:created>
  <dc:creator>Инженер_5</dc:creator>
  <cp:lastModifiedBy>Leo Grig</cp:lastModifiedBy>
  <cp:lastPrinted>2023-02-07T11:34:00Z</cp:lastPrinted>
  <dcterms:modified xsi:type="dcterms:W3CDTF">2023-03-14T11:17:12Z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785311AB36874C9681438A3389BF7AC9</vt:lpwstr>
  </property>
</Properties>
</file>