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25.08.2020 № 1659»</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20.12.2022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25.08.2020 № 1659»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жилищно-коммунального комплекса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25.08.2020 № 1659 «Об утверждении муниципальной программы «Развитие жилищно-коммунального комплекса, дорожно-уличной сети и благоустройства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http://dimitrovgrad.ru/regulatory/program_projects/35969/</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969/"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2</Pages>
  <Words>716</Words>
  <Characters>4087</Characters>
  <CharactersWithSpaces>4794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