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от 14.02.2019 № 262»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19.12.2022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от 02.10.2018 № 2126»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Муниципальным казенным учреждением «Управлением по реализации социальных программ».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  Трудовым кодексом Российской Федерации,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Админ6истрации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 постановлением Администрации города от 29.11.2022 №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Димитровграда от 14.02.2019 № 262 «Об утверждении Положения об отраслевой системе оплаты труда работников Муниципального казенного учреждения «Управление по реализации социальных программ»».</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момент вступления постановления в силу.</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право работодателя на предоставление и перерасчет единовременной выплаты к ежегодному оплачиваемому отпуску.</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16.12.2022.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40"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16</TotalTime>
  <Pages>2</Pages>
  <Words>650</Words>
  <Characters>3709</Characters>
  <CharactersWithSpaces>4351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