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Заключение</w:t>
      </w:r>
    </w:p>
    <w:p>
      <w:pPr>
        <w:jc w:val="center"/>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8"/>
        </w:rPr>
      </w:pPr>
      <w:r>
        <w:rPr>
          <w:b w:val="true"/>
          <w:rFonts w:ascii="Times New Roman" w:eastAsia="Times New Roman" w:hAnsi="Times New Roman" w:cs="Times New Roman"/>
          <w:sz w:val="28"/>
        </w:rPr>
        <w:t xml:space="preserve">по результатам проведения антикоррупционной экспертизы проекта постановления Администрации города «Об утверждении Положения о порядке обеспечения доступа к информации о деятельности Администрации города Димитровграда Ульяновской области, ее отраслевых (функциональных) органов»</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Дата экспертизы: 12.12.2022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1.Общие положения</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Настоящее заключение дано на проект постановления Администрации города Димитровграда Ульяновской области «Об утверждении Положения о порядке обеспечения доступа к информации о деятельности Администрации города Димитровграда Ульяновской области, ее отраслевых (функциональных) органов» (далее - Проект).</w:t>
      </w:r>
    </w:p>
    <w:p>
      <w:pPr>
        <w:jc w:val="both"/>
        <w:textAlignment w:val="auto"/>
        <w:ind w:firstLine="567" w:left="0" w:right="0" w:start="0" w:end="0"/>
        <w:adjustRightInd w:val="true"/>
        <w:spacing w:after="0" w:line="240"/>
        <w:bidi w:val="false"/>
        <w:rPr>
          <w:b w:val="true"/>
          <w:rFonts w:ascii="Times New Roman" w:eastAsia="Times New Roman" w:hAnsi="Times New Roman" w:cs="Times New Roman"/>
          <w:sz w:val="28"/>
        </w:rPr>
      </w:pPr>
      <w:r>
        <w:rPr>
          <w:rFonts w:ascii="Times New Roman" w:eastAsia="Times New Roman" w:hAnsi="Times New Roman" w:cs="Times New Roman"/>
          <w:sz w:val="28"/>
        </w:rPr>
        <w:t xml:space="preserve">Проект внесен Отделом информационных технологий и защиты информации.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2.Описание проекта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27.07.2006 №149-ФЗ «Об информации, информационных технологиях и о защите информации», Федеральным законом от 09.02.2009 №8-ФЗ «Об обеспечении доступа к информации о деятельности государственных органов и органов местного самоуправления».</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Пунктом 1 Проекта предлагается утвердить Положение о порядке обеспечения доступа к информации о деятельности Администрации города Димитровграда Ульяновской области, ее отраслевых (функциональных) органов.</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Пунктом 2 Проекта предлагается признать утратившим силу (отменить) постановление Администрации города.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Пунктом 3 Проекта предлагается установить, что постановление подлежит официальному опубликованию.</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Пунктом 4 Проекта возлагается контроль за исполнением постановления.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w:t>
      </w:r>
    </w:p>
    <w:p>
      <w:pPr>
        <w:jc w:val="both"/>
        <w:textAlignment w:val="auto"/>
        <w:ind w:firstLine="567" w:left="0" w:right="0" w:start="0" w:end="0"/>
        <w:spacing w:after="0" w:line="240"/>
        <w:bidi w:val="false"/>
        <w:rPr>
          <w:rFonts w:ascii="Times New Roman" w:eastAsia="Times New Roman" w:hAnsi="Times New Roman" w:cs="Times New Roman"/>
          <w:sz w:val="28"/>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567"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4.Выводы по результатам антикоррупционной экспертизы</w:t>
      </w:r>
    </w:p>
    <w:p>
      <w:pPr>
        <w:jc w:val="both"/>
        <w:textAlignment w:val="auto"/>
        <w:ind w:firstLine="567"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rPr>
        <w:t xml:space="preserve">Проект признается прошедшим антикоррупционную экспертизу</w:t>
      </w:r>
      <w:r>
        <w:rPr>
          <w:rFonts w:ascii="Times New Roman" w:eastAsia="Times New Roman" w:hAnsi="Times New Roman" w:cs="Times New Roman"/>
          <w:sz w:val="28"/>
          <w:color w:val="000000"/>
        </w:rPr>
        <w:t xml:space="preserve">.</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Проект подлежит направлению в прокуратуру города.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Проект подлежит размещению на официальном сайте Администрации города, а также направляется на общественное обсуждение.</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Проект также подлежит направлению в подразделения, </w:t>
      </w:r>
      <w:r>
        <w:rPr>
          <w:rFonts w:ascii="Times New Roman" w:eastAsia="Times New Roman" w:hAnsi="Times New Roman" w:cs="Times New Roman"/>
          <w:sz w:val="28"/>
          <w:color w:val="212121"/>
        </w:rPr>
        <w:t xml:space="preserve">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 </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Ведущий инспектор-юрисконсульт</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отдела правовой экспертизы</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правового управления</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 xml:space="preserve">              Т.Ю.Тойгильдина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правового  управления </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города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 xml:space="preserve">С.Н.Барышева            </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701" w:right="567" w:top="737" w:bottom="510"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Cambria Math">
    <w:panose1 w:val="02040503050406030204"/>
    <w:family w:val="roman"/>
    <w:charset w:val="CC"/>
    <w:pitch w:val="variable"/>
  </w:font>
  <w:font w:name="Tahoma">
    <w:panose1 w:val="020b0604030504040204"/>
    <w:family w:val="swiss"/>
    <w:charset w:val="CC"/>
    <w:pitch w:val="variable"/>
  </w:font>
  <w:font w:name="Segoe UI">
    <w:altName w:val="Arial"/>
    <w:panose1 w:val="00000000000000000000"/>
    <w:family w:val="swiss"/>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346</TotalTime>
  <Pages>2</Pages>
  <Words>540</Words>
  <Characters>3083</Characters>
  <CharactersWithSpaces>3616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