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«Об утверждении Положения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 осуществляющих образовательную деятельность»</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18.11.2022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«Об утверждении Положения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 осуществляющих образовательную деятельность» (далее - Проект).</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образования Администрации города Димитровграда.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статьей 65 Федерального закона Российской Федерации от 19.12.2012 № 273-ФЗ «Об образовании в Российской Федерации»</w:t>
      </w:r>
      <w:r>
        <w:rPr>
          <w:rFonts w:ascii="Times New Roman" w:eastAsia="Times New Roman" w:hAnsi="Times New Roman" w:cs="Times New Roman"/>
          <w:sz w:val="28"/>
        </w:rPr>
        <w:t xml:space="preserve">, </w:t>
      </w:r>
      <w:hyperlink r:id="rId2">
        <w:r>
          <w:rPr>
            <w:rFonts w:ascii="Times New Roman" w:eastAsia="Times New Roman" w:hAnsi="Times New Roman" w:cs="Times New Roman"/>
            <w:sz w:val="27"/>
            <w:color w:val="000000"/>
          </w:rPr>
          <w:t xml:space="preserve">постановлением</w:t>
        </w:r>
      </w:hyperlink>
      <w:r>
        <w:rPr>
          <w:rFonts w:ascii="Times New Roman" w:eastAsia="Times New Roman" w:hAnsi="Times New Roman" w:cs="Times New Roman"/>
          <w:sz w:val="27"/>
        </w:rPr>
        <w:t xml:space="preserve">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утвердить Положение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 осуществляющих образовательную деятельность. </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устанавливается момент вступления постановления в силу. </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возлагается контроль за исполнением постановления.</w:t>
      </w:r>
    </w:p>
    <w:p>
      <w:pPr>
        <w:jc w:val="both"/>
        <w:textAlignment w:val="auto"/>
        <w:ind w:firstLine="567"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http://dimitrovgrad.ru/regulatory/project_document/35598/</w:t>
        </w:r>
      </w:hyperlink>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bidi w:val="false"/>
        <w:rPr>
          <w:rFonts w:ascii="Times New Roman" w:eastAsia="Times New Roman" w:hAnsi="Times New Roman" w:cs="Times New Roman"/>
          <w:sz w:val="27"/>
        </w:rPr>
      </w:pP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bidi w:val="false"/>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Verdana">
    <w:panose1 w:val="020b0604030504040204"/>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consultantplus://offline/ref=8DC8F6EE94DFF2C4921DA685E1BCA729A7383F134231FD1F82E55F84CF1F294A851244DFF37B2D114742E1E9A4A8C8A4o0QBG%20\h" TargetMode="External"/><Relationship Id="rId3" Type="http://schemas.openxmlformats.org/officeDocument/2006/relationships/hyperlink" Target="http://dimitrovgrad.ru/regulatory/project_document/35598/"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13</TotalTime>
  <Pages>2</Pages>
  <Words>695</Words>
  <Characters>3967</Characters>
  <CharactersWithSpaces>4653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