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w:t>
      </w:r>
      <w:r>
        <w:rPr>
          <w:b w:val="true"/>
          <w:rFonts w:ascii="Times New Roman" w:eastAsia="Times New Roman" w:hAnsi="Times New Roman" w:cs="Times New Roman"/>
          <w:sz w:val="27"/>
        </w:rPr>
        <w:t xml:space="preserve">Об официальном сайте Администрации города Димитровграда Ульяновской области</w:t>
      </w:r>
      <w:r>
        <w:rPr>
          <w:b w:val="true"/>
          <w:rFonts w:ascii="Times New Roman" w:eastAsia="Times New Roman" w:hAnsi="Times New Roman" w:cs="Times New Roman"/>
          <w:sz w:val="27"/>
        </w:rPr>
        <w:t xml:space="preserve">»</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05.12.2022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w:t>
      </w:r>
      <w:r>
        <w:rPr>
          <w:rFonts w:ascii="Times New Roman" w:eastAsia="Times New Roman" w:hAnsi="Times New Roman" w:cs="Times New Roman"/>
          <w:sz w:val="27"/>
        </w:rPr>
        <w:t xml:space="preserve">Об официальном сайте Администрации города Димитровграда Ульяновской области</w:t>
      </w:r>
      <w:r>
        <w:rPr>
          <w:rFonts w:ascii="Times New Roman" w:eastAsia="Times New Roman" w:hAnsi="Times New Roman" w:cs="Times New Roman"/>
          <w:sz w:val="27"/>
        </w:rPr>
        <w:t xml:space="preserve">» (далее - Проект).</w:t>
      </w:r>
    </w:p>
    <w:p>
      <w:pPr>
        <w:jc w:val="both"/>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Отделом информационных технологий и защиты информации.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27.07.2006 №149-ФЗ «Об информации, информационных технологиях и о защите информации», Федеральным законом от 09.02.2009 №8-ФЗ «Об обеспечении доступа к информации о деятельности государственных органов и органов местного самоуправления».</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утвердить Положение об официальном сайте Администрации города Димитровграда Ульяновской области.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признать утратившим силу (отменить) постановление Администрации города.</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w:t>
      </w:r>
    </w:p>
    <w:p>
      <w:pPr>
        <w:jc w:val="both"/>
        <w:textAlignment w:val="auto"/>
        <w:ind w:firstLine="567" w:left="0" w:right="0" w:start="0" w:end="0"/>
        <w:spacing w:after="0" w:line="240"/>
        <w:bidi w:val="false"/>
        <w:rPr>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w:t>
      </w:r>
    </w:p>
    <w:p>
      <w:pPr>
        <w:jc w:val="both"/>
        <w:textAlignment w:val="auto"/>
        <w:ind w:firstLine="708"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708"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направлению в прокуратуру города.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размещению на официальном сайте Администрации города, а также направляется на общественное обсуждение.</w:t>
      </w:r>
    </w:p>
    <w:p>
      <w:pPr>
        <w:jc w:val="both"/>
        <w:textAlignment w:val="auto"/>
        <w:ind w:firstLine="709"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также подлежит направлению в подразделения, </w:t>
      </w:r>
      <w:r>
        <w:rPr>
          <w:rFonts w:ascii="Times New Roman" w:eastAsia="Times New Roman" w:hAnsi="Times New Roman" w:cs="Times New Roman"/>
          <w:sz w:val="27"/>
          <w:color w:val="212121"/>
        </w:rPr>
        <w:t xml:space="preserve">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Ведущий инспектор-юрисконсульт</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Т.Ю.Тойгильдина</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С.Н.Барышева            </w:t>
      </w:r>
    </w:p>
    <w:p>
      <w:pPr>
        <w:jc w:val="both"/>
        <w:textAlignment w:val="auto"/>
        <w:ind w:left="0" w:right="0" w:start="0" w:end="0"/>
        <w:adjustRightInd w:val="true"/>
        <w:spacing w:after="0" w:line="240"/>
        <w:bidi w:val="false"/>
        <w:rPr>
          <w:rFonts w:ascii="Times New Roman" w:eastAsia="Times New Roman" w:hAnsi="Times New Roman" w:cs="Times New Roman"/>
          <w:sz w:val="24"/>
        </w:rPr>
      </w:pPr>
    </w:p>
    <w:sectPr>
      <w:cols w:num="1" w:space="720" w:equalWidth="true"/>
      <w:footnotePr>
        <w:pos w:val="beneathText"/>
      </w:footnotePr>
      <w:lnNumType w:distance="0"/>
      <w:pgSz w:w="11905" w:h="16837"/>
      <w:pgMar w:left="1701" w:right="567" w:top="737" w:bottom="510"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Cambria Math">
    <w:panose1 w:val="00000000000000000000"/>
    <w:family w:val="roman"/>
    <w:charset w:val="CC"/>
    <w:pitch w:val="variable"/>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333</TotalTime>
  <Pages>2</Pages>
  <Words>517</Words>
  <Characters>2947</Characters>
  <CharactersWithSpaces>3458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