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0"/>
        </w:rPr>
      </w:r>
    </w:p>
    <w:p>
      <w:pPr>
        <w:pStyle w:val="2"/>
        <w:jc w:val="center"/>
      </w:pPr>
      <w:r>
        <w:rPr>
          <w:sz w:val="20"/>
        </w:rPr>
        <w:t xml:space="preserve">ГОРОДСКАЯ ДУМА ГОРОДА ДИМИТРОВГРАДА</w:t>
      </w:r>
    </w:p>
    <w:p>
      <w:pPr>
        <w:pStyle w:val="2"/>
        <w:jc w:val="center"/>
      </w:pPr>
      <w:r>
        <w:rPr>
          <w:sz w:val="20"/>
        </w:rPr>
        <w:t xml:space="preserve">УЛЬЯНОВСКОЙ ОБЛАСТИ</w:t>
      </w:r>
    </w:p>
    <w:p>
      <w:pPr>
        <w:pStyle w:val="2"/>
        <w:ind w:firstLine="540"/>
        <w:jc w:val="both"/>
      </w:pPr>
      <w:r>
        <w:rPr>
          <w:sz w:val="20"/>
        </w:rPr>
      </w:r>
    </w:p>
    <w:p>
      <w:pPr>
        <w:pStyle w:val="2"/>
        <w:jc w:val="center"/>
      </w:pPr>
      <w:r>
        <w:rPr>
          <w:sz w:val="20"/>
        </w:rPr>
        <w:t xml:space="preserve">РЕШЕНИЕ</w:t>
      </w:r>
    </w:p>
    <w:p>
      <w:pPr>
        <w:pStyle w:val="2"/>
        <w:jc w:val="center"/>
      </w:pPr>
      <w:r>
        <w:rPr>
          <w:sz w:val="20"/>
        </w:rPr>
        <w:t xml:space="preserve">от 28 ноября 2024 г. N 21/187</w:t>
      </w:r>
    </w:p>
    <w:p>
      <w:pPr>
        <w:pStyle w:val="2"/>
        <w:ind w:firstLine="540"/>
        <w:jc w:val="both"/>
      </w:pPr>
      <w:r>
        <w:rPr>
          <w:sz w:val="20"/>
        </w:rPr>
      </w:r>
    </w:p>
    <w:p>
      <w:pPr>
        <w:pStyle w:val="2"/>
        <w:jc w:val="center"/>
      </w:pPr>
      <w:r>
        <w:rPr>
          <w:sz w:val="20"/>
        </w:rPr>
        <w:t xml:space="preserve">О ВНЕСЕНИИ ИЗМЕНЕНИЙ В ПРАВИЛА БЛАГОУСТРОЙСТВА</w:t>
      </w:r>
    </w:p>
    <w:p>
      <w:pPr>
        <w:pStyle w:val="2"/>
        <w:jc w:val="center"/>
      </w:pPr>
      <w:r>
        <w:rPr>
          <w:sz w:val="20"/>
        </w:rPr>
        <w:t xml:space="preserve">ТЕРРИТОРИИ ГОРОДА ДИМИТРОВГРАДА УЛЬЯНОВСКОЙ ОБЛАСТИ</w:t>
      </w:r>
    </w:p>
    <w:p>
      <w:pPr>
        <w:pStyle w:val="0"/>
        <w:jc w:val="both"/>
      </w:pPr>
      <w:r>
        <w:rPr>
          <w:sz w:val="20"/>
        </w:rPr>
      </w:r>
    </w:p>
    <w:p>
      <w:pPr>
        <w:pStyle w:val="0"/>
        <w:ind w:firstLine="540"/>
        <w:jc w:val="both"/>
      </w:pPr>
      <w:r>
        <w:rPr>
          <w:sz w:val="20"/>
        </w:rPr>
        <w:t xml:space="preserve">Руководствуясь Федеральным </w:t>
      </w:r>
      <w:hyperlink w:history="0" r:id="rId6" w:tooltip="Федеральный закон от 24.06.1998 N 89-ФЗ (ред. от 08.08.2024) &quot;Об отходах производства и потребления&quot; (с изм. и доп., вступ. в силу с 01.09.2024) ------------ Недействующая редакция {КонсультантПлюс}">
        <w:r>
          <w:rPr>
            <w:sz w:val="20"/>
            <w:color w:val="0000ff"/>
          </w:rPr>
          <w:t xml:space="preserve">законом</w:t>
        </w:r>
      </w:hyperlink>
      <w:r>
        <w:rPr>
          <w:sz w:val="20"/>
        </w:rPr>
        <w:t xml:space="preserve"> от 24.06.1998 N 89-ФЗ "Об отходах производства и потребления", Федеральным </w:t>
      </w:r>
      <w:hyperlink w:history="0" r:id="rId7"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 Недействующая редакция {КонсультантПлюс}">
        <w:r>
          <w:rPr>
            <w:sz w:val="20"/>
            <w:color w:val="0000ff"/>
          </w:rPr>
          <w:t xml:space="preserve">законом</w:t>
        </w:r>
      </w:hyperlink>
      <w:r>
        <w:rPr>
          <w:sz w:val="20"/>
        </w:rPr>
        <w:t xml:space="preserve"> от 06.10.2003 N 131-ФЗ "Об общих принципах организации местного самоуправления в Российской Федерации", </w:t>
      </w:r>
      <w:hyperlink w:history="0" r:id="rId8"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0"/>
            <w:color w:val="0000ff"/>
          </w:rPr>
          <w:t xml:space="preserve">постановлением</w:t>
        </w:r>
      </w:hyperlink>
      <w:r>
        <w:rPr>
          <w:sz w:val="20"/>
        </w:rPr>
        <w:t xml:space="preserve"> Правительства Российской Федерации от 16.09.2020 N 1479 "Об утверждении Правил противопожарного режима в Российской Федерации", </w:t>
      </w:r>
      <w:hyperlink w:history="0" r:id="rId9" w:tooltip="&quot;Устав муниципального образования &quot;Город Димитровград&quot; Ульяновской области&quot; (принят Решением Городской Думы г. Димитровграда Ульяновской обл. от 29.06.2016 N 46/556) (ред. от 29.08.2024) (Зарегистрировано в Управлении Минюста РФ по Ульяновской области 14.07.2016 N RU733020002016002) ------------ Недействующая редакция {КонсультантПлюс}">
        <w:r>
          <w:rPr>
            <w:sz w:val="20"/>
            <w:color w:val="0000ff"/>
          </w:rPr>
          <w:t xml:space="preserve">пунктом 11 части 1 статьи 26</w:t>
        </w:r>
      </w:hyperlink>
      <w:r>
        <w:rPr>
          <w:sz w:val="20"/>
        </w:rPr>
        <w:t xml:space="preserve"> Устава муниципального образования "Город Димитровград" Ульяновской области, рассмотрев заключение о результатах публичных слушаний по проекту решения Городской Думы города Димитровграда Ульяновской области четвертого созыва "О внесении изменений в Правила благоустройства территории города Димитровграда Ульяновской области" от 18.06.2024 и обращение Главы города Димитровграда Ульяновской области Сандрюкова С.А. от 25.10.2024 N 01-21/5575, Городская Дума города Димитровграда Ульяновской области четвертого созыва решила:</w:t>
      </w:r>
    </w:p>
    <w:p>
      <w:pPr>
        <w:pStyle w:val="0"/>
        <w:spacing w:before="200" w:line-rule="auto"/>
        <w:ind w:firstLine="540"/>
        <w:jc w:val="both"/>
      </w:pPr>
      <w:r>
        <w:rPr>
          <w:sz w:val="20"/>
        </w:rPr>
        <w:t xml:space="preserve">1. Внести в </w:t>
      </w:r>
      <w:hyperlink w:history="0" r:id="rId10" w:tooltip="Решение Городской Думы г. Димитровграда от 28.06.2017 N 65/781 (ред. от 25.08.2021)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Правила</w:t>
        </w:r>
      </w:hyperlink>
      <w:r>
        <w:rPr>
          <w:sz w:val="20"/>
        </w:rPr>
        <w:t xml:space="preserve"> благоустройства территории города Димитровграда Ульяновской области, утвержденные решением Городской Думы города Димитровграда Ульяновской области второго созыва от 28.06.2017 N 65/781, следующие изменения:</w:t>
      </w:r>
    </w:p>
    <w:p>
      <w:pPr>
        <w:pStyle w:val="0"/>
        <w:spacing w:before="200" w:line-rule="auto"/>
        <w:ind w:firstLine="540"/>
        <w:jc w:val="both"/>
      </w:pPr>
      <w:r>
        <w:rPr>
          <w:sz w:val="20"/>
        </w:rPr>
        <w:t xml:space="preserve">1) в </w:t>
      </w:r>
      <w:hyperlink w:history="0" r:id="rId11" w:tooltip="Решение Городской Думы г. Димитровграда от 28.06.2017 N 65/781 (ред. от 25.08.2021)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статье 2</w:t>
        </w:r>
      </w:hyperlink>
      <w:r>
        <w:rPr>
          <w:sz w:val="20"/>
        </w:rPr>
        <w:t xml:space="preserve">:</w:t>
      </w:r>
    </w:p>
    <w:p>
      <w:pPr>
        <w:pStyle w:val="0"/>
        <w:spacing w:before="200" w:line-rule="auto"/>
        <w:ind w:firstLine="540"/>
        <w:jc w:val="both"/>
      </w:pPr>
      <w:r>
        <w:rPr>
          <w:sz w:val="20"/>
        </w:rPr>
        <w:t xml:space="preserve">а) </w:t>
      </w:r>
      <w:hyperlink w:history="0" r:id="rId12" w:tooltip="Решение Городской Думы г. Димитровграда от 28.06.2017 N 65/781 (ред. от 25.08.2021)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часть 6</w:t>
        </w:r>
      </w:hyperlink>
      <w:r>
        <w:rPr>
          <w:sz w:val="20"/>
        </w:rPr>
        <w:t xml:space="preserve"> изложить в следующей редакции:</w:t>
      </w:r>
    </w:p>
    <w:p>
      <w:pPr>
        <w:pStyle w:val="0"/>
        <w:spacing w:before="200" w:line-rule="auto"/>
        <w:ind w:firstLine="540"/>
        <w:jc w:val="both"/>
      </w:pPr>
      <w:r>
        <w:rPr>
          <w:sz w:val="20"/>
        </w:rPr>
        <w:t xml:space="preserve">"6. Контейнер - мусоросборник, предназначенный для складирования твердых коммунальных отходов, за исключением крупногабаритных отходов.";</w:t>
      </w:r>
    </w:p>
    <w:p>
      <w:pPr>
        <w:pStyle w:val="0"/>
        <w:spacing w:before="200" w:line-rule="auto"/>
        <w:ind w:firstLine="540"/>
        <w:jc w:val="both"/>
      </w:pPr>
      <w:r>
        <w:rPr>
          <w:sz w:val="20"/>
        </w:rPr>
        <w:t xml:space="preserve">б) </w:t>
      </w:r>
      <w:hyperlink w:history="0" r:id="rId13" w:tooltip="Решение Городской Думы г. Димитровграда от 28.06.2017 N 65/781 (ред. от 25.08.2021)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часть 28</w:t>
        </w:r>
      </w:hyperlink>
      <w:r>
        <w:rPr>
          <w:sz w:val="20"/>
        </w:rPr>
        <w:t xml:space="preserve"> изложить в следующей редакции:</w:t>
      </w:r>
    </w:p>
    <w:p>
      <w:pPr>
        <w:pStyle w:val="0"/>
        <w:spacing w:before="200" w:line-rule="auto"/>
        <w:ind w:firstLine="540"/>
        <w:jc w:val="both"/>
      </w:pPr>
      <w:r>
        <w:rPr>
          <w:sz w:val="20"/>
        </w:rPr>
        <w:t xml:space="preserve">"28.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pPr>
        <w:pStyle w:val="0"/>
        <w:spacing w:before="200" w:line-rule="auto"/>
        <w:ind w:firstLine="540"/>
        <w:jc w:val="both"/>
      </w:pPr>
      <w:r>
        <w:rPr>
          <w:sz w:val="20"/>
        </w:rPr>
        <w:t xml:space="preserve">2) </w:t>
      </w:r>
      <w:hyperlink w:history="0" r:id="rId14" w:tooltip="Решение Городской Думы г. Димитровграда от 28.06.2017 N 65/781 (ред. от 25.08.2021)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пункт 2 части 6 статьи 3</w:t>
        </w:r>
      </w:hyperlink>
      <w:r>
        <w:rPr>
          <w:sz w:val="20"/>
        </w:rPr>
        <w:t xml:space="preserve"> изложить в следующей редакции:</w:t>
      </w:r>
    </w:p>
    <w:p>
      <w:pPr>
        <w:pStyle w:val="0"/>
        <w:spacing w:before="200" w:line-rule="auto"/>
        <w:ind w:firstLine="540"/>
        <w:jc w:val="both"/>
      </w:pPr>
      <w:r>
        <w:rPr>
          <w:sz w:val="20"/>
        </w:rPr>
        <w:t xml:space="preserve">"2) сжигание мусора, травы, листвы и иных отходов, материалов или изделий на территориях общего пользования включая придомовые территории многоквартирных домов, прибрежные территории водоемов, а также на территориях частных домовладений, за исключением сжигания и (или) обеззараживания (обезвреживания) отходов производства и потребления на специализированных установках;";</w:t>
      </w:r>
    </w:p>
    <w:p>
      <w:pPr>
        <w:pStyle w:val="0"/>
        <w:spacing w:before="200" w:line-rule="auto"/>
        <w:ind w:firstLine="540"/>
        <w:jc w:val="both"/>
      </w:pPr>
      <w:r>
        <w:rPr>
          <w:sz w:val="20"/>
        </w:rPr>
        <w:t xml:space="preserve">3) в </w:t>
      </w:r>
      <w:hyperlink w:history="0" r:id="rId15" w:tooltip="Решение Городской Думы г. Димитровграда от 28.06.2017 N 65/781 (ред. от 25.08.2021)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статье 5</w:t>
        </w:r>
      </w:hyperlink>
      <w:r>
        <w:rPr>
          <w:sz w:val="20"/>
        </w:rPr>
        <w:t xml:space="preserve">:</w:t>
      </w:r>
    </w:p>
    <w:p>
      <w:pPr>
        <w:pStyle w:val="0"/>
        <w:spacing w:before="200" w:line-rule="auto"/>
        <w:ind w:firstLine="540"/>
        <w:jc w:val="both"/>
      </w:pPr>
      <w:r>
        <w:rPr>
          <w:sz w:val="20"/>
        </w:rPr>
        <w:t xml:space="preserve">а) </w:t>
      </w:r>
      <w:hyperlink w:history="0" r:id="rId16" w:tooltip="Решение Городской Думы г. Димитровграда от 28.06.2017 N 65/781 (ред. от 25.08.2021)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часть 4</w:t>
        </w:r>
      </w:hyperlink>
      <w:r>
        <w:rPr>
          <w:sz w:val="20"/>
        </w:rPr>
        <w:t xml:space="preserve"> изложить в следующей редакции:</w:t>
      </w:r>
    </w:p>
    <w:p>
      <w:pPr>
        <w:pStyle w:val="0"/>
        <w:spacing w:before="200" w:line-rule="auto"/>
        <w:ind w:firstLine="540"/>
        <w:jc w:val="both"/>
      </w:pPr>
      <w:r>
        <w:rPr>
          <w:sz w:val="20"/>
        </w:rPr>
        <w:t xml:space="preserve">"4. Вывоз скола асфальта при проведении дорожно-ремонтных работ производится организациями, имеющими лицензию на деятельность по транспортированию отходов IV класса опасности: на автомобильных дорогах общего пользования местного значения 1, 2, и 3 категории - незамедлительно (по ходу ведения работ), на автомобильных дорогах общего пользования местного значения 4 и 5 категории, улицах и внутриквартальных территориях - в течение суток.";</w:t>
      </w:r>
    </w:p>
    <w:p>
      <w:pPr>
        <w:pStyle w:val="0"/>
        <w:spacing w:before="200" w:line-rule="auto"/>
        <w:ind w:firstLine="540"/>
        <w:jc w:val="both"/>
      </w:pPr>
      <w:r>
        <w:rPr>
          <w:sz w:val="20"/>
        </w:rPr>
        <w:t xml:space="preserve">б) </w:t>
      </w:r>
      <w:hyperlink w:history="0" r:id="rId17" w:tooltip="Решение Городской Думы г. Димитровграда от 28.06.2017 N 65/781 (ред. от 25.08.2021)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часть 12</w:t>
        </w:r>
      </w:hyperlink>
      <w:r>
        <w:rPr>
          <w:sz w:val="20"/>
        </w:rPr>
        <w:t xml:space="preserve"> изложить в следующей редакции:</w:t>
      </w:r>
    </w:p>
    <w:p>
      <w:pPr>
        <w:pStyle w:val="0"/>
        <w:spacing w:before="200" w:line-rule="auto"/>
        <w:ind w:firstLine="540"/>
        <w:jc w:val="both"/>
      </w:pPr>
      <w:r>
        <w:rPr>
          <w:sz w:val="20"/>
        </w:rPr>
        <w:t xml:space="preserve">"12. Очистка урн производится собственниками или лицами, осуществляющими по договору содержание территорий, по мере их заполнения, но не реже 1 раза за сутки.";</w:t>
      </w:r>
    </w:p>
    <w:p>
      <w:pPr>
        <w:pStyle w:val="0"/>
        <w:spacing w:before="200" w:line-rule="auto"/>
        <w:ind w:firstLine="540"/>
        <w:jc w:val="both"/>
      </w:pPr>
      <w:r>
        <w:rPr>
          <w:sz w:val="20"/>
        </w:rPr>
        <w:t xml:space="preserve">4) в </w:t>
      </w:r>
      <w:hyperlink w:history="0" r:id="rId18" w:tooltip="Решение Городской Думы г. Димитровграда от 28.06.2017 N 65/781 (ред. от 25.08.2021)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статье 16</w:t>
        </w:r>
      </w:hyperlink>
      <w:r>
        <w:rPr>
          <w:sz w:val="20"/>
        </w:rPr>
        <w:t xml:space="preserve">:</w:t>
      </w:r>
    </w:p>
    <w:p>
      <w:pPr>
        <w:pStyle w:val="0"/>
        <w:spacing w:before="200" w:line-rule="auto"/>
        <w:ind w:firstLine="540"/>
        <w:jc w:val="both"/>
      </w:pPr>
      <w:r>
        <w:rPr>
          <w:sz w:val="20"/>
        </w:rPr>
        <w:t xml:space="preserve">а) </w:t>
      </w:r>
      <w:hyperlink w:history="0" r:id="rId19" w:tooltip="Решение Городской Думы г. Димитровграда от 28.06.2017 N 65/781 (ред. от 25.08.2021)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пункт 7 части 9</w:t>
        </w:r>
      </w:hyperlink>
      <w:r>
        <w:rPr>
          <w:sz w:val="20"/>
        </w:rPr>
        <w:t xml:space="preserve"> исключить;</w:t>
      </w:r>
    </w:p>
    <w:p>
      <w:pPr>
        <w:pStyle w:val="0"/>
        <w:spacing w:before="200" w:line-rule="auto"/>
        <w:ind w:firstLine="540"/>
        <w:jc w:val="both"/>
      </w:pPr>
      <w:r>
        <w:rPr>
          <w:sz w:val="20"/>
        </w:rPr>
        <w:t xml:space="preserve">б) </w:t>
      </w:r>
      <w:hyperlink w:history="0" r:id="rId20" w:tooltip="Решение Городской Думы г. Димитровграда от 28.06.2017 N 65/781 (ред. от 25.08.2021)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часть 14</w:t>
        </w:r>
      </w:hyperlink>
      <w:r>
        <w:rPr>
          <w:sz w:val="20"/>
        </w:rPr>
        <w:t xml:space="preserve"> изложить в следующей редакции:</w:t>
      </w:r>
    </w:p>
    <w:p>
      <w:pPr>
        <w:pStyle w:val="0"/>
        <w:spacing w:before="200" w:line-rule="auto"/>
        <w:ind w:firstLine="540"/>
        <w:jc w:val="both"/>
      </w:pPr>
      <w:r>
        <w:rPr>
          <w:sz w:val="20"/>
        </w:rPr>
        <w:t xml:space="preserve">"14. Собственники и лица, на ином вещном праве у которых находятся инженерные сети и коммуникации, обеспечивают своевременный снос (обрезку, пересадку) деревьев и кустарников, произрастающих в охранных технических зонах данных сетей и коммуникаций.";</w:t>
      </w:r>
    </w:p>
    <w:p>
      <w:pPr>
        <w:pStyle w:val="0"/>
        <w:spacing w:before="200" w:line-rule="auto"/>
        <w:ind w:firstLine="540"/>
        <w:jc w:val="both"/>
      </w:pPr>
      <w:r>
        <w:rPr>
          <w:sz w:val="20"/>
        </w:rPr>
        <w:t xml:space="preserve">в) </w:t>
      </w:r>
      <w:hyperlink w:history="0" r:id="rId21" w:tooltip="Решение Городской Думы г. Димитровграда от 28.06.2017 N 65/781 (ред. от 25.08.2021)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часть 15</w:t>
        </w:r>
      </w:hyperlink>
      <w:r>
        <w:rPr>
          <w:sz w:val="20"/>
        </w:rPr>
        <w:t xml:space="preserve"> изложить в следующей редакции:</w:t>
      </w:r>
    </w:p>
    <w:p>
      <w:pPr>
        <w:pStyle w:val="0"/>
        <w:spacing w:before="200" w:line-rule="auto"/>
        <w:ind w:firstLine="540"/>
        <w:jc w:val="both"/>
      </w:pPr>
      <w:r>
        <w:rPr>
          <w:sz w:val="20"/>
        </w:rPr>
        <w:t xml:space="preserve">"15. Снос (обрезка, пересадка) деревьев и кустарников, ветви которых закрывают указатели наименования улиц и номеров домов, дорожные знаки, светофоры, треугольники видимости перекрестков, осуществляются ответственными за содержание соответствующих территорий лицами.";</w:t>
      </w:r>
    </w:p>
    <w:p>
      <w:pPr>
        <w:pStyle w:val="0"/>
        <w:spacing w:before="200" w:line-rule="auto"/>
        <w:ind w:firstLine="540"/>
        <w:jc w:val="both"/>
      </w:pPr>
      <w:r>
        <w:rPr>
          <w:sz w:val="20"/>
        </w:rPr>
        <w:t xml:space="preserve">г) </w:t>
      </w:r>
      <w:hyperlink w:history="0" r:id="rId22" w:tooltip="Решение Городской Думы г. Димитровграда от 28.06.2017 N 65/781 (ред. от 25.08.2021)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дополнить</w:t>
        </w:r>
      </w:hyperlink>
      <w:r>
        <w:rPr>
          <w:sz w:val="20"/>
        </w:rPr>
        <w:t xml:space="preserve"> частью 18 следующего содержания:</w:t>
      </w:r>
    </w:p>
    <w:p>
      <w:pPr>
        <w:pStyle w:val="0"/>
        <w:spacing w:before="200" w:line-rule="auto"/>
        <w:ind w:firstLine="540"/>
        <w:jc w:val="both"/>
      </w:pPr>
      <w:r>
        <w:rPr>
          <w:sz w:val="20"/>
        </w:rPr>
        <w:t xml:space="preserve">"18. Снос, обрезка и пересадка зеленых насаждений производится только после предоставления соответствующего разрешения на право вырубки зеленых насаждений, выдаваемого Администрацией города.</w:t>
      </w:r>
    </w:p>
    <w:p>
      <w:pPr>
        <w:pStyle w:val="0"/>
        <w:spacing w:before="200" w:line-rule="auto"/>
        <w:ind w:firstLine="540"/>
        <w:jc w:val="both"/>
      </w:pPr>
      <w:r>
        <w:rPr>
          <w:sz w:val="20"/>
        </w:rPr>
        <w:t xml:space="preserve">Осмотр зеленых насаждений на земельных участках, предназначенных для строительства, реконструкции объектов капитального строительства, проведения земляных работ, осуществляется Комиссией по содержанию зеленых насаждений на территории города Димитровграда Ульяновской области, положение о которой и состав утверждается постановлением Администрации города.</w:t>
      </w:r>
    </w:p>
    <w:p>
      <w:pPr>
        <w:pStyle w:val="0"/>
        <w:spacing w:before="200" w:line-rule="auto"/>
        <w:ind w:firstLine="540"/>
        <w:jc w:val="both"/>
      </w:pPr>
      <w:r>
        <w:rPr>
          <w:sz w:val="20"/>
        </w:rPr>
        <w:t xml:space="preserve">Деревья, подлежащие сносу (обрезке, пересадке), оформляются аншлагами с информацией о причинах сноса (обрезки, пересадки) и лицах, осуществляющих работы, не позднее 5 рабочих дней до начала работ. Размещение аншлагов обеспечивает правообладатель озелененной территории. Дата начала работ по сносу (обрезке, пересадке) зеленых насаждений сообщается не позднее чем за 5 рабочих дней до назначенного срока в муниципальное казенное учреждение, подведомственное Комитету по ЖКК и ответственное за подготовку проекта соответствующего разрешения на право вырубки зеленых насаждений.</w:t>
      </w:r>
    </w:p>
    <w:p>
      <w:pPr>
        <w:pStyle w:val="0"/>
        <w:spacing w:before="200" w:line-rule="auto"/>
        <w:ind w:firstLine="540"/>
        <w:jc w:val="both"/>
      </w:pPr>
      <w:r>
        <w:rPr>
          <w:sz w:val="20"/>
        </w:rPr>
        <w:t xml:space="preserve">Информация об окончании работ по сносу (обрезке, пересадке) зеленых насаждений сообщается в муниципальное казенное учреждение, подведомственное Комитету по ЖКК и ответственное за подготовку проекта соответствующего разрешения на право вырубки зеленых насаждений, не позднее 3 рабочих дней после завершения работ по сносу (обрезке, пересадке) аварийных зеленых насаждений, и не позднее 3 рабочих дней после завершения работ по строительству, проведению земляных работ.</w:t>
      </w:r>
    </w:p>
    <w:p>
      <w:pPr>
        <w:pStyle w:val="0"/>
        <w:spacing w:before="200" w:line-rule="auto"/>
        <w:ind w:firstLine="540"/>
        <w:jc w:val="both"/>
      </w:pPr>
      <w:r>
        <w:rPr>
          <w:sz w:val="20"/>
        </w:rPr>
        <w:t xml:space="preserve">Срок действия соответствующего разрешения на право вырубки зеленых насаждений устанавливается на период срока действия разрешения на строительство, разрешения на проведение земляных работ. Срок действия соответствующего разрешения на право вырубки зеленых насаждений, являющихся аварийными, составляет 2 года.";</w:t>
      </w:r>
    </w:p>
    <w:p>
      <w:pPr>
        <w:pStyle w:val="0"/>
        <w:spacing w:before="200" w:line-rule="auto"/>
        <w:ind w:firstLine="540"/>
        <w:jc w:val="both"/>
      </w:pPr>
      <w:r>
        <w:rPr>
          <w:sz w:val="20"/>
        </w:rPr>
        <w:t xml:space="preserve">5) </w:t>
      </w:r>
      <w:hyperlink w:history="0" r:id="rId23" w:tooltip="Решение Городской Думы г. Димитровграда от 28.06.2017 N 65/781 (ред. от 25.08.2021)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часть 2 статьи 19</w:t>
        </w:r>
      </w:hyperlink>
      <w:r>
        <w:rPr>
          <w:sz w:val="20"/>
        </w:rPr>
        <w:t xml:space="preserve"> изложить в следующей редакции:</w:t>
      </w:r>
    </w:p>
    <w:p>
      <w:pPr>
        <w:pStyle w:val="0"/>
        <w:spacing w:before="200" w:line-rule="auto"/>
        <w:ind w:firstLine="540"/>
        <w:jc w:val="both"/>
      </w:pPr>
      <w:r>
        <w:rPr>
          <w:sz w:val="20"/>
        </w:rPr>
        <w:t xml:space="preserve">"2. Размещение некапитальных нестационарных сооружений осуществляется в порядке, предусмотренном законодательством Российской Федерации, Ульяновской области и муниципальными правовыми актами города.";</w:t>
      </w:r>
    </w:p>
    <w:p>
      <w:pPr>
        <w:pStyle w:val="0"/>
        <w:spacing w:before="200" w:line-rule="auto"/>
        <w:ind w:firstLine="540"/>
        <w:jc w:val="both"/>
      </w:pPr>
      <w:r>
        <w:rPr>
          <w:sz w:val="20"/>
        </w:rPr>
        <w:t xml:space="preserve">6) в </w:t>
      </w:r>
      <w:hyperlink w:history="0" r:id="rId24" w:tooltip="Решение Городской Думы г. Димитровграда от 28.06.2017 N 65/781 (ред. от 25.08.2021)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статье 19.1</w:t>
        </w:r>
      </w:hyperlink>
      <w:r>
        <w:rPr>
          <w:sz w:val="20"/>
        </w:rPr>
        <w:t xml:space="preserve">:</w:t>
      </w:r>
    </w:p>
    <w:p>
      <w:pPr>
        <w:pStyle w:val="0"/>
        <w:spacing w:before="200" w:line-rule="auto"/>
        <w:ind w:firstLine="540"/>
        <w:jc w:val="both"/>
      </w:pPr>
      <w:r>
        <w:rPr>
          <w:sz w:val="20"/>
        </w:rPr>
        <w:t xml:space="preserve">а) </w:t>
      </w:r>
      <w:hyperlink w:history="0" r:id="rId25" w:tooltip="Решение Городской Думы г. Димитровграда от 28.06.2017 N 65/781 (ред. от 25.08.2021)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дополнить</w:t>
        </w:r>
      </w:hyperlink>
      <w:r>
        <w:rPr>
          <w:sz w:val="20"/>
        </w:rPr>
        <w:t xml:space="preserve"> частью 2.1 следующего содержания:</w:t>
      </w:r>
    </w:p>
    <w:p>
      <w:pPr>
        <w:pStyle w:val="0"/>
        <w:spacing w:before="200" w:line-rule="auto"/>
        <w:ind w:firstLine="540"/>
        <w:jc w:val="both"/>
      </w:pPr>
      <w:r>
        <w:rPr>
          <w:sz w:val="20"/>
        </w:rPr>
        <w:t xml:space="preserve">"2.1. Размещение нестационарных торговых объектов на земельных участках, в зданиях, строениях, сооружениях, находящихся в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 в порядке, установленном Администрацией города, а также в соответствии с </w:t>
      </w:r>
      <w:hyperlink w:history="0" r:id="rId26" w:tooltip="Приказ министерства агропромышленного комплекса и развития сельских территорий Ульяновской обл. от 03.12.2021 N 49 &quot;Об утверждении Порядка разработки и утверждения органами местного самоуправления схем размещения нестационарных торговых объектов на территории Ульяновской области и признании утратившими силу отдельных нормативных правовых актов Министерства сельского, лесного хозяйства и природных ресурсов Ульяновской области&quot; {КонсультантПлюс}">
        <w:r>
          <w:rPr>
            <w:sz w:val="20"/>
            <w:color w:val="0000ff"/>
          </w:rPr>
          <w:t xml:space="preserve">Порядком</w:t>
        </w:r>
      </w:hyperlink>
      <w:r>
        <w:rPr>
          <w:sz w:val="20"/>
        </w:rPr>
        <w:t xml:space="preserve"> разработки и утверждения органами местного самоуправления схем размещения нестационарных торговых объектов на территории Ульяновской области, утвержденным приказом Министерства агропромышленного комплекса и развития сельских территорий Ульяновской области от 03.12.2021 N 49.</w:t>
      </w:r>
    </w:p>
    <w:p>
      <w:pPr>
        <w:pStyle w:val="0"/>
        <w:spacing w:before="200" w:line-rule="auto"/>
        <w:ind w:firstLine="540"/>
        <w:jc w:val="both"/>
      </w:pPr>
      <w:r>
        <w:rPr>
          <w:sz w:val="20"/>
        </w:rPr>
        <w:t xml:space="preserve">Размещение и использование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осуществляется в соответствии с Порядком, устанавливаемым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 при условии соблюдения целевого назначения и вида разрешенного использования земельного участка, предусмотренного законодательством (если назначение земельного участка допускает установку и эксплуатацию нестационарных торговых объектов).";</w:t>
      </w:r>
    </w:p>
    <w:p>
      <w:pPr>
        <w:pStyle w:val="0"/>
        <w:spacing w:before="200" w:line-rule="auto"/>
        <w:ind w:firstLine="540"/>
        <w:jc w:val="both"/>
      </w:pPr>
      <w:r>
        <w:rPr>
          <w:sz w:val="20"/>
        </w:rPr>
        <w:t xml:space="preserve">б) </w:t>
      </w:r>
      <w:hyperlink w:history="0" r:id="rId27" w:tooltip="Решение Городской Думы г. Димитровграда от 28.06.2017 N 65/781 (ред. от 25.08.2021) &quot;Об утверждении Правил благоустройства территории города Димитровграда Ульяновской области&quot; ------------ Недействующая редакция {КонсультантПлюс}">
        <w:r>
          <w:rPr>
            <w:sz w:val="20"/>
            <w:color w:val="0000ff"/>
          </w:rPr>
          <w:t xml:space="preserve">абзац первый части 3</w:t>
        </w:r>
      </w:hyperlink>
      <w:r>
        <w:rPr>
          <w:sz w:val="20"/>
        </w:rPr>
        <w:t xml:space="preserve"> изложить в следующей редакции:</w:t>
      </w:r>
    </w:p>
    <w:p>
      <w:pPr>
        <w:pStyle w:val="0"/>
        <w:spacing w:before="200" w:line-rule="auto"/>
        <w:ind w:firstLine="540"/>
        <w:jc w:val="both"/>
      </w:pPr>
      <w:r>
        <w:rPr>
          <w:sz w:val="20"/>
        </w:rPr>
        <w:t xml:space="preserve">"3. Внешний вид нестационарных торговых объектов, указанных в части 2.1 настоящей статьи, должен быть согласован с Администрацией города Димитровграда Ульяновской области и соответствовать типовому эскизному проекту внешнего вида нестационарных торговых объектов, утвержденному постановлением Администрации города.".</w:t>
      </w:r>
    </w:p>
    <w:p>
      <w:pPr>
        <w:pStyle w:val="0"/>
        <w:spacing w:before="200" w:line-rule="auto"/>
        <w:ind w:firstLine="540"/>
        <w:jc w:val="both"/>
      </w:pPr>
      <w:r>
        <w:rPr>
          <w:sz w:val="20"/>
        </w:rPr>
        <w:t xml:space="preserve">2. Настоящее решение подлежит официальному опубликованию и размещению на официальном сайте Городской Думы города Димитровграда Ульяновской области в информационно-телекоммуникационной сети "Интернет".</w:t>
      </w:r>
    </w:p>
    <w:p>
      <w:pPr>
        <w:pStyle w:val="0"/>
        <w:spacing w:before="200" w:line-rule="auto"/>
        <w:ind w:firstLine="540"/>
        <w:jc w:val="both"/>
      </w:pPr>
      <w:r>
        <w:rPr>
          <w:sz w:val="20"/>
        </w:rPr>
        <w:t xml:space="preserve">3. Настоящее решение вступает в силу на следующий день после дня его официального опубликования.</w:t>
      </w:r>
    </w:p>
    <w:p>
      <w:pPr>
        <w:pStyle w:val="0"/>
        <w:jc w:val="both"/>
      </w:pPr>
      <w:r>
        <w:rPr>
          <w:sz w:val="20"/>
        </w:rPr>
      </w:r>
    </w:p>
    <w:p>
      <w:pPr>
        <w:pStyle w:val="0"/>
        <w:jc w:val="right"/>
      </w:pPr>
      <w:r>
        <w:rPr>
          <w:sz w:val="20"/>
        </w:rPr>
        <w:t xml:space="preserve">Председатель Городской Думы</w:t>
      </w:r>
    </w:p>
    <w:p>
      <w:pPr>
        <w:pStyle w:val="0"/>
        <w:jc w:val="right"/>
      </w:pPr>
      <w:r>
        <w:rPr>
          <w:sz w:val="20"/>
        </w:rPr>
        <w:t xml:space="preserve">города Димитровграда</w:t>
      </w:r>
    </w:p>
    <w:p>
      <w:pPr>
        <w:pStyle w:val="0"/>
        <w:jc w:val="right"/>
      </w:pPr>
      <w:r>
        <w:rPr>
          <w:sz w:val="20"/>
        </w:rPr>
        <w:t xml:space="preserve">Ульяновской области</w:t>
      </w:r>
    </w:p>
    <w:p>
      <w:pPr>
        <w:pStyle w:val="0"/>
        <w:jc w:val="right"/>
      </w:pPr>
      <w:r>
        <w:rPr>
          <w:sz w:val="20"/>
        </w:rPr>
        <w:t xml:space="preserve">К.Б.ДУШКОВА</w:t>
      </w:r>
    </w:p>
    <w:p>
      <w:pPr>
        <w:pStyle w:val="0"/>
        <w:jc w:val="both"/>
      </w:pPr>
      <w:r>
        <w:rPr>
          <w:sz w:val="20"/>
        </w:rPr>
      </w:r>
    </w:p>
    <w:p>
      <w:pPr>
        <w:pStyle w:val="0"/>
        <w:jc w:val="right"/>
      </w:pPr>
      <w:r>
        <w:rPr>
          <w:sz w:val="20"/>
        </w:rPr>
        <w:t xml:space="preserve">Глава города Димитровграда</w:t>
      </w:r>
    </w:p>
    <w:p>
      <w:pPr>
        <w:pStyle w:val="0"/>
        <w:jc w:val="right"/>
      </w:pPr>
      <w:r>
        <w:rPr>
          <w:sz w:val="20"/>
        </w:rPr>
        <w:t xml:space="preserve">Ульяновской области</w:t>
      </w:r>
    </w:p>
    <w:p>
      <w:pPr>
        <w:pStyle w:val="0"/>
        <w:jc w:val="right"/>
      </w:pPr>
      <w:r>
        <w:rPr>
          <w:sz w:val="20"/>
        </w:rPr>
        <w:t xml:space="preserve">С.А.САНДРЮКОВ</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Городской Думы г. Димитровграда от 28.11.2024 N 21/187</w:t>
            <w:br/>
            <w:t>"О внесении изменений в Правила благоустройства территори...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01.04.2025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Решение Городской Думы г. Димитровграда от 28.11.2024 N 21/187 "О внесении изменений в Правила благоустройства территори...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https://login.consultant.ru/link/?req=doc&amp;base=LAW&amp;n=471232" TargetMode = "External"/>
	<Relationship Id="rId7" Type="http://schemas.openxmlformats.org/officeDocument/2006/relationships/hyperlink" Target="https://login.consultant.ru/link/?req=doc&amp;base=LAW&amp;n=471024" TargetMode = "External"/>
	<Relationship Id="rId8" Type="http://schemas.openxmlformats.org/officeDocument/2006/relationships/hyperlink" Target="https://login.consultant.ru/link/?req=doc&amp;base=LAW&amp;n=455730" TargetMode = "External"/>
	<Relationship Id="rId9" Type="http://schemas.openxmlformats.org/officeDocument/2006/relationships/hyperlink" Target="https://login.consultant.ru/link/?req=doc&amp;base=RLAW248&amp;n=40974&amp;dst=101475" TargetMode = "External"/>
	<Relationship Id="rId10" Type="http://schemas.openxmlformats.org/officeDocument/2006/relationships/hyperlink" Target="https://login.consultant.ru/link/?req=doc&amp;base=RLAW248&amp;n=32504&amp;dst=100011" TargetMode = "External"/>
	<Relationship Id="rId11" Type="http://schemas.openxmlformats.org/officeDocument/2006/relationships/hyperlink" Target="https://login.consultant.ru/link/?req=doc&amp;base=RLAW248&amp;n=32504&amp;dst=100016" TargetMode = "External"/>
	<Relationship Id="rId12" Type="http://schemas.openxmlformats.org/officeDocument/2006/relationships/hyperlink" Target="https://login.consultant.ru/link/?req=doc&amp;base=RLAW248&amp;n=32504&amp;dst=100022" TargetMode = "External"/>
	<Relationship Id="rId13" Type="http://schemas.openxmlformats.org/officeDocument/2006/relationships/hyperlink" Target="https://login.consultant.ru/link/?req=doc&amp;base=RLAW248&amp;n=32504&amp;dst=100044" TargetMode = "External"/>
	<Relationship Id="rId14" Type="http://schemas.openxmlformats.org/officeDocument/2006/relationships/hyperlink" Target="https://login.consultant.ru/link/?req=doc&amp;base=RLAW248&amp;n=32504&amp;dst=100076" TargetMode = "External"/>
	<Relationship Id="rId15" Type="http://schemas.openxmlformats.org/officeDocument/2006/relationships/hyperlink" Target="https://login.consultant.ru/link/?req=doc&amp;base=RLAW248&amp;n=32504&amp;dst=100145" TargetMode = "External"/>
	<Relationship Id="rId16" Type="http://schemas.openxmlformats.org/officeDocument/2006/relationships/hyperlink" Target="https://login.consultant.ru/link/?req=doc&amp;base=RLAW248&amp;n=32504&amp;dst=100177" TargetMode = "External"/>
	<Relationship Id="rId17" Type="http://schemas.openxmlformats.org/officeDocument/2006/relationships/hyperlink" Target="https://login.consultant.ru/link/?req=doc&amp;base=RLAW248&amp;n=32504&amp;dst=100185" TargetMode = "External"/>
	<Relationship Id="rId18" Type="http://schemas.openxmlformats.org/officeDocument/2006/relationships/hyperlink" Target="https://login.consultant.ru/link/?req=doc&amp;base=RLAW248&amp;n=32504&amp;dst=100507" TargetMode = "External"/>
	<Relationship Id="rId19" Type="http://schemas.openxmlformats.org/officeDocument/2006/relationships/hyperlink" Target="https://login.consultant.ru/link/?req=doc&amp;base=RLAW248&amp;n=32504&amp;dst=100724" TargetMode = "External"/>
	<Relationship Id="rId20" Type="http://schemas.openxmlformats.org/officeDocument/2006/relationships/hyperlink" Target="https://login.consultant.ru/link/?req=doc&amp;base=RLAW248&amp;n=32504&amp;dst=100541" TargetMode = "External"/>
	<Relationship Id="rId21" Type="http://schemas.openxmlformats.org/officeDocument/2006/relationships/hyperlink" Target="https://login.consultant.ru/link/?req=doc&amp;base=RLAW248&amp;n=32504&amp;dst=100542" TargetMode = "External"/>
	<Relationship Id="rId22" Type="http://schemas.openxmlformats.org/officeDocument/2006/relationships/hyperlink" Target="https://login.consultant.ru/link/?req=doc&amp;base=RLAW248&amp;n=32504&amp;dst=100507" TargetMode = "External"/>
	<Relationship Id="rId23" Type="http://schemas.openxmlformats.org/officeDocument/2006/relationships/hyperlink" Target="https://login.consultant.ru/link/?req=doc&amp;base=RLAW248&amp;n=32504&amp;dst=100580" TargetMode = "External"/>
	<Relationship Id="rId24" Type="http://schemas.openxmlformats.org/officeDocument/2006/relationships/hyperlink" Target="https://login.consultant.ru/link/?req=doc&amp;base=RLAW248&amp;n=32504&amp;dst=100738" TargetMode = "External"/>
	<Relationship Id="rId25" Type="http://schemas.openxmlformats.org/officeDocument/2006/relationships/hyperlink" Target="https://login.consultant.ru/link/?req=doc&amp;base=RLAW248&amp;n=32504&amp;dst=100738" TargetMode = "External"/>
	<Relationship Id="rId26" Type="http://schemas.openxmlformats.org/officeDocument/2006/relationships/hyperlink" Target="https://login.consultant.ru/link/?req=doc&amp;base=RLAW076&amp;n=61217&amp;dst=100024" TargetMode = "External"/>
	<Relationship Id="rId27" Type="http://schemas.openxmlformats.org/officeDocument/2006/relationships/hyperlink" Target="https://login.consultant.ru/link/?req=doc&amp;base=RLAW248&amp;n=32504&amp;dst=10074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Городской Думы г. Димитровграда от 28.11.2024 N 21/187
"О внесении изменений в Правила благоустройства территории города Димитровграда Ульяновской области"</dc:title>
  <dcterms:created xsi:type="dcterms:W3CDTF">2025-04-01T11:29:19Z</dcterms:created>
</cp:coreProperties>
</file>