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2E16A">
      <w:pPr>
        <w:spacing w:line="240" w:lineRule="auto"/>
        <w:jc w:val="center"/>
        <w:rPr>
          <w:rFonts w:ascii="Times New Roman" w:hAnsi="Times New Roman" w:eastAsia="Times New Roman"/>
          <w:b/>
          <w:color w:val="000000"/>
          <w:sz w:val="28"/>
          <w:szCs w:val="28"/>
          <w:lang w:eastAsia="ru-RU"/>
        </w:rPr>
      </w:pPr>
      <w:bookmarkStart w:id="3" w:name="_GoBack"/>
      <w:bookmarkEnd w:id="3"/>
      <w:r>
        <w:rPr>
          <w:rFonts w:ascii="Times New Roman" w:hAnsi="Times New Roman" w:eastAsia="Times New Roman"/>
          <w:b/>
          <w:color w:val="000000"/>
          <w:sz w:val="28"/>
          <w:szCs w:val="28"/>
          <w:lang w:eastAsia="ru-RU"/>
        </w:rPr>
        <w:t xml:space="preserve">Глава </w:t>
      </w:r>
      <w:r>
        <w:rPr>
          <w:rFonts w:ascii="Times New Roman" w:hAnsi="Times New Roman" w:eastAsia="Times New Roman"/>
          <w:b/>
          <w:color w:val="000000"/>
          <w:sz w:val="28"/>
          <w:szCs w:val="28"/>
          <w:lang w:val="en-US" w:eastAsia="ru-RU"/>
        </w:rPr>
        <w:t>V</w:t>
      </w:r>
      <w:r>
        <w:rPr>
          <w:rFonts w:ascii="Times New Roman" w:hAnsi="Times New Roman" w:eastAsia="Times New Roman"/>
          <w:b/>
          <w:color w:val="000000"/>
          <w:sz w:val="28"/>
          <w:szCs w:val="28"/>
          <w:lang w:eastAsia="ru-RU"/>
        </w:rPr>
        <w:t>.  Расчет</w:t>
      </w:r>
      <w:r>
        <w:rPr>
          <w:rFonts w:ascii="Times New Roman" w:hAnsi="Times New Roman"/>
          <w:b/>
          <w:color w:val="000000"/>
          <w:sz w:val="28"/>
          <w:szCs w:val="28"/>
        </w:rPr>
        <w:t xml:space="preserve"> </w:t>
      </w:r>
      <w:r>
        <w:rPr>
          <w:rFonts w:ascii="Times New Roman" w:hAnsi="Times New Roman" w:eastAsia="Times New Roman"/>
          <w:b/>
          <w:color w:val="000000"/>
          <w:sz w:val="28"/>
          <w:szCs w:val="28"/>
          <w:lang w:eastAsia="ru-RU"/>
        </w:rPr>
        <w:t>финансовых потребностей и определение источников их покрытия</w:t>
      </w:r>
    </w:p>
    <w:p w14:paraId="6D8EE9EF">
      <w:pPr>
        <w:spacing w:line="240" w:lineRule="auto"/>
        <w:jc w:val="center"/>
        <w:rPr>
          <w:rFonts w:ascii="Times New Roman" w:hAnsi="Times New Roman"/>
          <w:b/>
          <w:color w:val="000000"/>
          <w:sz w:val="28"/>
          <w:szCs w:val="28"/>
        </w:rPr>
      </w:pPr>
    </w:p>
    <w:p w14:paraId="728CBF6A">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Раздел 1. Объем инвестиций</w:t>
      </w:r>
    </w:p>
    <w:p w14:paraId="059C1E9B">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Расчет сумм капитальных затрат, необходимых на реализацию мероприятий, предусмотренных настоящей «Схемой водоснабжения и водоотведения» произведен на основании укрупненных нормативов цен создания различных видов объектов капитального строительства непроизводственного назначения и объектов инженерной инфраструктуры, утвержденных Министерством строительства и жилищно-коммунального хозяйства Российской Федерации: НЦС 81-02-14-2014 и объектам-аналогам.</w:t>
      </w:r>
    </w:p>
    <w:p w14:paraId="0C33DE29">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расчета стоимости мероприятий в ценах лет реализации использовались данные о динамике индекса потребительских цен (ИПЦ), определенных Минэкономразвития России в прогнозах социально-экономического развития Российской Федерации:</w:t>
      </w:r>
    </w:p>
    <w:p w14:paraId="24FC184E">
      <w:pPr>
        <w:spacing w:line="240" w:lineRule="auto"/>
        <w:ind w:firstLine="709"/>
        <w:jc w:val="both"/>
        <w:rPr>
          <w:rFonts w:ascii="Times New Roman" w:hAnsi="Times New Roman"/>
          <w:color w:val="000000"/>
          <w:sz w:val="28"/>
          <w:szCs w:val="28"/>
        </w:rPr>
      </w:pPr>
      <w:r>
        <w:rPr>
          <w:rFonts w:ascii="Times New Roman" w:hAnsi="Times New Roman"/>
          <w:sz w:val="28"/>
          <w:szCs w:val="28"/>
          <w:lang w:eastAsia="ru-RU"/>
        </w:rPr>
        <w:fldChar w:fldCharType="begin"/>
      </w:r>
      <w:r>
        <w:rPr>
          <w:rFonts w:ascii="Times New Roman" w:hAnsi="Times New Roman"/>
          <w:sz w:val="28"/>
          <w:szCs w:val="28"/>
          <w:lang w:eastAsia="ru-RU"/>
        </w:rPr>
        <w:instrText xml:space="preserve"> HYPERLINK "https://www.economy.gov.ru/material/directions/makroec/prognozy_socialno_ekonomicheskogo_razvitiya/prognoz_socialno_ekonomicheskogo_razvitiya_rf_na_2021_god_i_na_planovyy_period_2022_i_2023_godov.html" </w:instrText>
      </w:r>
      <w:r>
        <w:rPr>
          <w:rFonts w:ascii="Times New Roman" w:hAnsi="Times New Roman"/>
          <w:sz w:val="28"/>
          <w:szCs w:val="28"/>
          <w:lang w:eastAsia="ru-RU"/>
        </w:rPr>
        <w:fldChar w:fldCharType="separate"/>
      </w:r>
      <w:r>
        <w:rPr>
          <w:rFonts w:ascii="Times New Roman" w:hAnsi="Times New Roman"/>
          <w:color w:val="0000FF"/>
          <w:sz w:val="28"/>
          <w:szCs w:val="28"/>
          <w:lang w:eastAsia="ru-RU"/>
        </w:rPr>
        <w:t>https://www.economy.gov.ru/material/directions/makroec/prognozy_socialno_ekonomicheskogo_razvitiya/prognoz_socialno_ekonomicheskogo_razvitiya_rf_na_2021_god_i_na_planovyy_period_2022_i_2023_godov.html</w:t>
      </w:r>
      <w:r>
        <w:rPr>
          <w:rFonts w:ascii="Times New Roman" w:hAnsi="Times New Roman"/>
          <w:sz w:val="28"/>
          <w:szCs w:val="28"/>
          <w:lang w:eastAsia="ru-RU"/>
        </w:rPr>
        <w:fldChar w:fldCharType="end"/>
      </w:r>
      <w:r>
        <w:rPr>
          <w:rFonts w:ascii="Times New Roman" w:hAnsi="Times New Roman"/>
          <w:color w:val="000000"/>
          <w:sz w:val="28"/>
          <w:szCs w:val="28"/>
        </w:rPr>
        <w:t xml:space="preserve">, </w:t>
      </w:r>
    </w:p>
    <w:p w14:paraId="517F1709">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Структура финансовых потребностей, необходимых на реализацию мероприятий, предусмотренных настоящей Схемой водоснабжения и водоотведения за период с 2022 по 2028 гг. представлена в Таблице 42.  Стоимость мероприятий в прогнозных ценах составляет 10 110,9 млн. руб. (с учетом НДС), в том числе:</w:t>
      </w:r>
    </w:p>
    <w:p w14:paraId="30EFFF51">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z w:val="28"/>
          <w:szCs w:val="28"/>
        </w:rPr>
        <w:t>объекты "Водоснабжения" – 3 251,91 млн. руб. (32% от общего объема инвестиций);</w:t>
      </w:r>
      <w:bookmarkStart w:id="0" w:name="_GoBack"/>
      <w:bookmarkEnd w:id="0"/>
    </w:p>
    <w:p w14:paraId="13336634">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z w:val="28"/>
          <w:szCs w:val="28"/>
        </w:rPr>
        <w:t>объекты "Водоотведения" – 6 858,99 млн. руб. (68% от общего объема инвестиций).</w:t>
      </w:r>
    </w:p>
    <w:p w14:paraId="03DCD29F">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Наибольшая потребность в инвестициях приходится на выполнение мероприятий по объектам очистных сооружений ГОСК (диаграмма 1 (а)).   В структуре инвестиций капитальные вложения в объекты сетевого хозяйства (сети водоснабжения и водоотведения) составляют 45%, на них приходится 4 509,7 млн. руб. в ценах прогнозных лет (с учетом НДС) за период 2022-2036 гг. (диаграмма 1 (б)).</w:t>
      </w:r>
    </w:p>
    <w:p w14:paraId="4180E83A">
      <w:pPr>
        <w:spacing w:line="240" w:lineRule="auto"/>
        <w:ind w:firstLine="709"/>
        <w:jc w:val="both"/>
        <w:rPr>
          <w:rFonts w:ascii="Times New Roman" w:hAnsi="Times New Roman"/>
          <w:color w:val="000000"/>
          <w:sz w:val="28"/>
          <w:szCs w:val="28"/>
        </w:rPr>
      </w:pPr>
    </w:p>
    <w:p w14:paraId="3FF25753">
      <w:pPr>
        <w:spacing w:line="240" w:lineRule="auto"/>
        <w:ind w:firstLine="709"/>
        <w:jc w:val="both"/>
        <w:rPr>
          <w:rFonts w:ascii="Times New Roman" w:hAnsi="Times New Roman"/>
          <w:color w:val="000000"/>
          <w:sz w:val="28"/>
          <w:szCs w:val="28"/>
        </w:rPr>
      </w:pPr>
    </w:p>
    <w:p w14:paraId="37FB680A">
      <w:pPr>
        <w:framePr w:w="10044" w:wrap="auto" w:vAnchor="margin" w:hAnchor="text" w:y="1"/>
        <w:spacing w:line="240" w:lineRule="auto"/>
        <w:jc w:val="center"/>
        <w:rPr>
          <w:rFonts w:ascii="Times New Roman" w:hAnsi="Times New Roman"/>
          <w:color w:val="000000"/>
          <w:sz w:val="28"/>
          <w:szCs w:val="28"/>
        </w:rPr>
        <w:sectPr>
          <w:headerReference r:id="rId5" w:type="default"/>
          <w:pgSz w:w="11906" w:h="16838"/>
          <w:pgMar w:top="1134" w:right="707" w:bottom="1276" w:left="1701" w:header="709" w:footer="709" w:gutter="0"/>
          <w:pgNumType w:start="126"/>
          <w:cols w:space="708" w:num="1"/>
          <w:docGrid w:linePitch="360" w:charSpace="0"/>
        </w:sectPr>
      </w:pPr>
    </w:p>
    <w:tbl>
      <w:tblPr>
        <w:tblStyle w:val="3"/>
        <w:tblpPr w:leftFromText="180" w:rightFromText="180" w:vertAnchor="text" w:horzAnchor="margin" w:tblpXSpec="center" w:tblpY="99"/>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5103"/>
      </w:tblGrid>
      <w:tr w14:paraId="00F5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52" w:hRule="atLeast"/>
        </w:trPr>
        <w:tc>
          <w:tcPr>
            <w:tcW w:w="10598" w:type="dxa"/>
            <w:gridSpan w:val="2"/>
            <w:shd w:val="clear" w:color="auto" w:fill="auto"/>
            <w:noWrap w:val="0"/>
            <w:vAlign w:val="top"/>
          </w:tcPr>
          <w:p w14:paraId="285637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Диаграмма 1. Структура финансовых потребностей на выполнение мероприятий</w:t>
            </w:r>
          </w:p>
        </w:tc>
      </w:tr>
      <w:tr w14:paraId="7664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0" w:hRule="atLeast"/>
        </w:trPr>
        <w:tc>
          <w:tcPr>
            <w:tcW w:w="5495" w:type="dxa"/>
            <w:shd w:val="clear" w:color="auto" w:fill="auto"/>
            <w:noWrap w:val="0"/>
            <w:vAlign w:val="top"/>
          </w:tcPr>
          <w:p w14:paraId="4F1D8EE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а) по видам деятельности, %</w:t>
            </w:r>
          </w:p>
        </w:tc>
        <w:tc>
          <w:tcPr>
            <w:tcW w:w="5103" w:type="dxa"/>
            <w:shd w:val="clear" w:color="auto" w:fill="auto"/>
            <w:noWrap w:val="0"/>
            <w:vAlign w:val="top"/>
          </w:tcPr>
          <w:p w14:paraId="51DFB09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б) по типам объектов, %</w:t>
            </w:r>
          </w:p>
        </w:tc>
      </w:tr>
      <w:tr w14:paraId="3834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4" w:hRule="atLeast"/>
        </w:trPr>
        <w:tc>
          <w:tcPr>
            <w:tcW w:w="5495" w:type="dxa"/>
            <w:shd w:val="clear" w:color="auto" w:fill="auto"/>
            <w:noWrap w:val="0"/>
            <w:vAlign w:val="top"/>
          </w:tcPr>
          <w:p w14:paraId="5DA20E6D">
            <w:pPr>
              <w:spacing w:after="0" w:line="240" w:lineRule="auto"/>
              <w:jc w:val="center"/>
              <w:rPr>
                <w:rFonts w:ascii="Times New Roman" w:hAnsi="Times New Roman"/>
                <w:color w:val="000000"/>
                <w:sz w:val="28"/>
                <w:szCs w:val="28"/>
              </w:rPr>
            </w:pPr>
            <w:r>
              <w:rPr>
                <w:rFonts w:ascii="Times New Roman" w:hAnsi="Times New Roman"/>
                <w:color w:val="000000"/>
                <w:sz w:val="28"/>
                <w:szCs w:val="28"/>
              </w:rPr>
              <w:drawing>
                <wp:inline distT="0" distB="0" distL="114300" distR="114300">
                  <wp:extent cx="3857625" cy="2319020"/>
                  <wp:effectExtent l="0" t="0" r="9525" b="5080"/>
                  <wp:docPr id="1"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4"/>
                          <pic:cNvPicPr>
                            <a:picLocks noRot="1" noChangeAspect="1"/>
                          </pic:cNvPicPr>
                        </pic:nvPicPr>
                        <pic:blipFill>
                          <a:blip r:embed="rId7"/>
                          <a:stretch>
                            <a:fillRect/>
                          </a:stretch>
                        </pic:blipFill>
                        <pic:spPr>
                          <a:xfrm>
                            <a:off x="0" y="0"/>
                            <a:ext cx="3857625" cy="2319020"/>
                          </a:xfrm>
                          <a:prstGeom prst="rect">
                            <a:avLst/>
                          </a:prstGeom>
                          <a:noFill/>
                          <a:ln>
                            <a:noFill/>
                          </a:ln>
                        </pic:spPr>
                      </pic:pic>
                    </a:graphicData>
                  </a:graphic>
                </wp:inline>
              </w:drawing>
            </w:r>
          </w:p>
        </w:tc>
        <w:tc>
          <w:tcPr>
            <w:tcW w:w="5103" w:type="dxa"/>
            <w:shd w:val="clear" w:color="auto" w:fill="auto"/>
            <w:noWrap w:val="0"/>
            <w:vAlign w:val="top"/>
          </w:tcPr>
          <w:p w14:paraId="70BD5874">
            <w:pPr>
              <w:spacing w:after="0" w:line="240" w:lineRule="auto"/>
              <w:jc w:val="center"/>
              <w:rPr>
                <w:rFonts w:ascii="Times New Roman" w:hAnsi="Times New Roman"/>
                <w:color w:val="000000"/>
                <w:sz w:val="28"/>
                <w:szCs w:val="28"/>
              </w:rPr>
            </w:pPr>
            <w:r>
              <w:rPr>
                <w:lang w:eastAsia="ru-RU"/>
              </w:rPr>
              <w:drawing>
                <wp:inline distT="0" distB="0" distL="114300" distR="114300">
                  <wp:extent cx="3079750" cy="2354580"/>
                  <wp:effectExtent l="4445" t="4445" r="20955" b="2222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400BDA3A">
      <w:pPr>
        <w:spacing w:line="240" w:lineRule="auto"/>
        <w:jc w:val="right"/>
        <w:rPr>
          <w:rFonts w:ascii="Times New Roman" w:hAnsi="Times New Roman"/>
          <w:color w:val="000000"/>
          <w:sz w:val="28"/>
          <w:szCs w:val="28"/>
        </w:rPr>
      </w:pPr>
    </w:p>
    <w:p w14:paraId="116D9097">
      <w:pPr>
        <w:spacing w:line="240" w:lineRule="auto"/>
        <w:jc w:val="right"/>
        <w:rPr>
          <w:rFonts w:ascii="Times New Roman" w:hAnsi="Times New Roman"/>
          <w:color w:val="000000"/>
          <w:sz w:val="28"/>
          <w:szCs w:val="28"/>
        </w:rPr>
      </w:pPr>
      <w:r>
        <w:rPr>
          <w:rFonts w:ascii="Times New Roman" w:hAnsi="Times New Roman"/>
          <w:color w:val="000000"/>
          <w:sz w:val="28"/>
          <w:szCs w:val="28"/>
        </w:rPr>
        <w:t>Таблица 42</w:t>
      </w:r>
    </w:p>
    <w:p w14:paraId="5B890A80">
      <w:pPr>
        <w:spacing w:line="240" w:lineRule="auto"/>
        <w:jc w:val="right"/>
        <w:rPr>
          <w:sz w:val="20"/>
          <w:szCs w:val="20"/>
          <w:lang w:eastAsia="ru-RU"/>
        </w:rPr>
      </w:pPr>
      <w:r>
        <w:fldChar w:fldCharType="begin"/>
      </w:r>
      <w:r>
        <w:instrText xml:space="preserve"> LINK Excel.Sheet.12 "\\\\Srv-share\\Общая\\ПТО\\Схема ВиВ для креал\\Схема ВиВ 2024\\Книга3.xlsx" "Лист1!R2C1:R7C7" \a \f 4 \h </w:instrText>
      </w:r>
      <w:bookmarkStart w:id="1" w:name="_1785158896"/>
      <w:bookmarkEnd w:id="1"/>
      <w:r>
        <w:fldChar w:fldCharType="separate"/>
      </w:r>
    </w:p>
    <w:p w14:paraId="6D560B52">
      <w:pPr>
        <w:spacing w:line="240" w:lineRule="auto"/>
        <w:jc w:val="right"/>
        <w:rPr>
          <w:rFonts w:ascii="Times New Roman" w:hAnsi="Times New Roman"/>
          <w:color w:val="000000"/>
          <w:sz w:val="28"/>
          <w:szCs w:val="28"/>
        </w:rPr>
      </w:pPr>
      <w:r>
        <w:rPr>
          <w:rFonts w:ascii="Times New Roman" w:hAnsi="Times New Roman"/>
          <w:color w:val="000000"/>
          <w:sz w:val="28"/>
          <w:szCs w:val="28"/>
        </w:rPr>
        <w:fldChar w:fldCharType="end"/>
      </w:r>
    </w:p>
    <w:p w14:paraId="35AF6435">
      <w:pPr>
        <w:spacing w:line="240" w:lineRule="auto"/>
        <w:jc w:val="right"/>
        <w:rPr>
          <w:sz w:val="20"/>
          <w:szCs w:val="20"/>
          <w:lang w:eastAsia="ru-RU"/>
        </w:rPr>
      </w:pPr>
      <w:r>
        <w:fldChar w:fldCharType="begin"/>
      </w:r>
      <w:r>
        <w:instrText xml:space="preserve"> LINK Excel.Sheet.12 "\\\\Srv-share\\Общая\\ПТО\\Схема ВиВ для креал\\Схема ВиВ 2024\\Книга3.xlsx" "Лист1!R2C1:R9C7" \a \f 4 \h  \* MERGEFORMAT </w:instrText>
      </w:r>
      <w:bookmarkStart w:id="2" w:name="_1785219273"/>
      <w:bookmarkEnd w:id="2"/>
      <w:r>
        <w:fldChar w:fldCharType="separate"/>
      </w:r>
    </w:p>
    <w:tbl>
      <w:tblPr>
        <w:tblStyle w:val="3"/>
        <w:tblW w:w="10207" w:type="dxa"/>
        <w:tblInd w:w="-601" w:type="dxa"/>
        <w:tblLayout w:type="autofit"/>
        <w:tblCellMar>
          <w:top w:w="0" w:type="dxa"/>
          <w:left w:w="108" w:type="dxa"/>
          <w:bottom w:w="0" w:type="dxa"/>
          <w:right w:w="108" w:type="dxa"/>
        </w:tblCellMar>
      </w:tblPr>
      <w:tblGrid>
        <w:gridCol w:w="2977"/>
        <w:gridCol w:w="1122"/>
        <w:gridCol w:w="1146"/>
        <w:gridCol w:w="1134"/>
        <w:gridCol w:w="1134"/>
        <w:gridCol w:w="1276"/>
        <w:gridCol w:w="1418"/>
      </w:tblGrid>
      <w:tr w14:paraId="35D1B3BA">
        <w:tblPrEx>
          <w:tblCellMar>
            <w:top w:w="0" w:type="dxa"/>
            <w:left w:w="108" w:type="dxa"/>
            <w:bottom w:w="0" w:type="dxa"/>
            <w:right w:w="108" w:type="dxa"/>
          </w:tblCellMar>
        </w:tblPrEx>
        <w:trPr>
          <w:wBefore w:w="0" w:type="dxa"/>
          <w:wAfter w:w="0" w:type="dxa"/>
          <w:trHeight w:val="81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4BA71">
            <w:pPr>
              <w:spacing w:after="0" w:line="240" w:lineRule="auto"/>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Инвестиции в ценах прогнозных лет (тыс. руб. с учетом НДС)</w:t>
            </w:r>
          </w:p>
        </w:tc>
        <w:tc>
          <w:tcPr>
            <w:tcW w:w="1122" w:type="dxa"/>
            <w:tcBorders>
              <w:top w:val="single" w:color="auto" w:sz="4" w:space="0"/>
              <w:left w:val="nil"/>
              <w:bottom w:val="single" w:color="auto" w:sz="4" w:space="0"/>
              <w:right w:val="single" w:color="auto" w:sz="4" w:space="0"/>
            </w:tcBorders>
            <w:shd w:val="clear" w:color="auto" w:fill="auto"/>
            <w:noWrap/>
            <w:vAlign w:val="center"/>
          </w:tcPr>
          <w:p w14:paraId="2BAC1318">
            <w:pPr>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2022</w:t>
            </w:r>
          </w:p>
        </w:tc>
        <w:tc>
          <w:tcPr>
            <w:tcW w:w="1146" w:type="dxa"/>
            <w:tcBorders>
              <w:top w:val="single" w:color="auto" w:sz="4" w:space="0"/>
              <w:left w:val="nil"/>
              <w:bottom w:val="single" w:color="auto" w:sz="4" w:space="0"/>
              <w:right w:val="single" w:color="auto" w:sz="4" w:space="0"/>
            </w:tcBorders>
            <w:shd w:val="clear" w:color="auto" w:fill="auto"/>
            <w:noWrap/>
            <w:vAlign w:val="center"/>
          </w:tcPr>
          <w:p w14:paraId="7A6B9AC7">
            <w:pPr>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2023</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6CCDA35">
            <w:pPr>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2024</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86351A7">
            <w:pPr>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2025</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B1D542C">
            <w:pPr>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2026-2028</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34E25144">
            <w:pPr>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ВСЕГО</w:t>
            </w:r>
          </w:p>
        </w:tc>
      </w:tr>
      <w:tr w14:paraId="150F9A00">
        <w:tblPrEx>
          <w:tblCellMar>
            <w:top w:w="0" w:type="dxa"/>
            <w:left w:w="108" w:type="dxa"/>
            <w:bottom w:w="0" w:type="dxa"/>
            <w:right w:w="108" w:type="dxa"/>
          </w:tblCellMar>
        </w:tblPrEx>
        <w:trPr>
          <w:wBefore w:w="0" w:type="dxa"/>
          <w:wAfter w:w="0" w:type="dxa"/>
          <w:trHeight w:val="315" w:hRule="atLeast"/>
        </w:trPr>
        <w:tc>
          <w:tcPr>
            <w:tcW w:w="2977" w:type="dxa"/>
            <w:tcBorders>
              <w:top w:val="nil"/>
              <w:left w:val="single" w:color="auto" w:sz="4" w:space="0"/>
              <w:bottom w:val="single" w:color="auto" w:sz="4" w:space="0"/>
              <w:right w:val="single" w:color="auto" w:sz="4" w:space="0"/>
            </w:tcBorders>
            <w:shd w:val="clear" w:color="auto" w:fill="auto"/>
            <w:noWrap w:val="0"/>
            <w:vAlign w:val="bottom"/>
          </w:tcPr>
          <w:p w14:paraId="680096A7">
            <w:pPr>
              <w:spacing w:after="0" w:line="240" w:lineRule="auto"/>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ВОДОСНАБЖЕНИЕ</w:t>
            </w:r>
          </w:p>
        </w:tc>
        <w:tc>
          <w:tcPr>
            <w:tcW w:w="1122" w:type="dxa"/>
            <w:tcBorders>
              <w:top w:val="nil"/>
              <w:left w:val="nil"/>
              <w:bottom w:val="single" w:color="auto" w:sz="4" w:space="0"/>
              <w:right w:val="single" w:color="auto" w:sz="4" w:space="0"/>
            </w:tcBorders>
            <w:shd w:val="clear" w:color="auto" w:fill="auto"/>
            <w:noWrap/>
            <w:vAlign w:val="bottom"/>
          </w:tcPr>
          <w:p w14:paraId="612180CB">
            <w:pPr>
              <w:spacing w:after="0" w:line="240" w:lineRule="auto"/>
              <w:jc w:val="center"/>
              <w:rPr>
                <w:rFonts w:ascii="Times New Roman" w:hAnsi="Times New Roman" w:eastAsia="Times New Roman"/>
                <w:color w:val="000000"/>
                <w:lang w:eastAsia="ru-RU"/>
              </w:rPr>
            </w:pPr>
            <w:r>
              <w:rPr>
                <w:rFonts w:ascii="Times New Roman" w:hAnsi="Times New Roman" w:eastAsia="Times New Roman"/>
                <w:color w:val="000000"/>
                <w:lang w:eastAsia="ru-RU"/>
              </w:rPr>
              <w:t>105 099</w:t>
            </w:r>
          </w:p>
        </w:tc>
        <w:tc>
          <w:tcPr>
            <w:tcW w:w="1146" w:type="dxa"/>
            <w:tcBorders>
              <w:top w:val="nil"/>
              <w:left w:val="nil"/>
              <w:bottom w:val="single" w:color="auto" w:sz="4" w:space="0"/>
              <w:right w:val="single" w:color="auto" w:sz="4" w:space="0"/>
            </w:tcBorders>
            <w:shd w:val="clear" w:color="auto" w:fill="auto"/>
            <w:noWrap/>
            <w:vAlign w:val="bottom"/>
          </w:tcPr>
          <w:p w14:paraId="6CBCDBD4">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172 127</w:t>
            </w:r>
          </w:p>
        </w:tc>
        <w:tc>
          <w:tcPr>
            <w:tcW w:w="1134" w:type="dxa"/>
            <w:tcBorders>
              <w:top w:val="nil"/>
              <w:left w:val="nil"/>
              <w:bottom w:val="single" w:color="auto" w:sz="4" w:space="0"/>
              <w:right w:val="single" w:color="auto" w:sz="4" w:space="0"/>
            </w:tcBorders>
            <w:shd w:val="clear" w:color="auto" w:fill="auto"/>
            <w:noWrap/>
            <w:vAlign w:val="bottom"/>
          </w:tcPr>
          <w:p w14:paraId="04A7B0AD">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398 702</w:t>
            </w:r>
          </w:p>
        </w:tc>
        <w:tc>
          <w:tcPr>
            <w:tcW w:w="1134" w:type="dxa"/>
            <w:tcBorders>
              <w:top w:val="nil"/>
              <w:left w:val="nil"/>
              <w:bottom w:val="single" w:color="auto" w:sz="4" w:space="0"/>
              <w:right w:val="single" w:color="auto" w:sz="4" w:space="0"/>
            </w:tcBorders>
            <w:shd w:val="clear" w:color="auto" w:fill="auto"/>
            <w:noWrap/>
            <w:vAlign w:val="bottom"/>
          </w:tcPr>
          <w:p w14:paraId="61DD5128">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640 843</w:t>
            </w:r>
          </w:p>
        </w:tc>
        <w:tc>
          <w:tcPr>
            <w:tcW w:w="1276" w:type="dxa"/>
            <w:tcBorders>
              <w:top w:val="nil"/>
              <w:left w:val="nil"/>
              <w:bottom w:val="single" w:color="auto" w:sz="4" w:space="0"/>
              <w:right w:val="single" w:color="auto" w:sz="4" w:space="0"/>
            </w:tcBorders>
            <w:shd w:val="clear" w:color="auto" w:fill="auto"/>
            <w:noWrap/>
            <w:vAlign w:val="bottom"/>
          </w:tcPr>
          <w:p w14:paraId="2DF848FE">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2 119 123</w:t>
            </w:r>
          </w:p>
        </w:tc>
        <w:tc>
          <w:tcPr>
            <w:tcW w:w="1418" w:type="dxa"/>
            <w:tcBorders>
              <w:top w:val="nil"/>
              <w:left w:val="nil"/>
              <w:bottom w:val="single" w:color="auto" w:sz="4" w:space="0"/>
              <w:right w:val="single" w:color="auto" w:sz="4" w:space="0"/>
            </w:tcBorders>
            <w:shd w:val="clear" w:color="auto" w:fill="auto"/>
            <w:noWrap/>
            <w:vAlign w:val="bottom"/>
          </w:tcPr>
          <w:p w14:paraId="3E70063F">
            <w:pPr>
              <w:spacing w:after="0" w:line="240" w:lineRule="auto"/>
              <w:jc w:val="right"/>
              <w:rPr>
                <w:rFonts w:ascii="Times New Roman" w:hAnsi="Times New Roman" w:eastAsia="Times New Roman"/>
                <w:b/>
                <w:bCs/>
                <w:color w:val="000000"/>
                <w:lang w:eastAsia="ru-RU"/>
              </w:rPr>
            </w:pPr>
            <w:r>
              <w:rPr>
                <w:rFonts w:ascii="Times New Roman" w:hAnsi="Times New Roman" w:eastAsia="Times New Roman"/>
                <w:b/>
                <w:bCs/>
                <w:color w:val="000000"/>
                <w:lang w:eastAsia="ru-RU"/>
              </w:rPr>
              <w:t>3 435 893</w:t>
            </w:r>
          </w:p>
        </w:tc>
      </w:tr>
      <w:tr w14:paraId="41A71665">
        <w:tblPrEx>
          <w:tblCellMar>
            <w:top w:w="0" w:type="dxa"/>
            <w:left w:w="108" w:type="dxa"/>
            <w:bottom w:w="0" w:type="dxa"/>
            <w:right w:w="108" w:type="dxa"/>
          </w:tblCellMar>
        </w:tblPrEx>
        <w:trPr>
          <w:wBefore w:w="0" w:type="dxa"/>
          <w:wAfter w:w="0" w:type="dxa"/>
          <w:trHeight w:val="630" w:hRule="atLeast"/>
        </w:trPr>
        <w:tc>
          <w:tcPr>
            <w:tcW w:w="2977" w:type="dxa"/>
            <w:tcBorders>
              <w:top w:val="nil"/>
              <w:left w:val="single" w:color="auto" w:sz="4" w:space="0"/>
              <w:bottom w:val="single" w:color="auto" w:sz="4" w:space="0"/>
              <w:right w:val="single" w:color="auto" w:sz="4" w:space="0"/>
            </w:tcBorders>
            <w:shd w:val="clear" w:color="auto" w:fill="auto"/>
            <w:noWrap w:val="0"/>
            <w:vAlign w:val="bottom"/>
          </w:tcPr>
          <w:p w14:paraId="0CC18B10">
            <w:pPr>
              <w:spacing w:after="0" w:line="240" w:lineRule="auto"/>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ВОДООТВЕДЕНИЕ транспортировка</w:t>
            </w:r>
          </w:p>
        </w:tc>
        <w:tc>
          <w:tcPr>
            <w:tcW w:w="1122" w:type="dxa"/>
            <w:tcBorders>
              <w:top w:val="nil"/>
              <w:left w:val="nil"/>
              <w:bottom w:val="single" w:color="auto" w:sz="4" w:space="0"/>
              <w:right w:val="single" w:color="auto" w:sz="4" w:space="0"/>
            </w:tcBorders>
            <w:shd w:val="clear" w:color="auto" w:fill="auto"/>
            <w:noWrap/>
            <w:vAlign w:val="bottom"/>
          </w:tcPr>
          <w:p w14:paraId="3FCE3F3F">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46 385</w:t>
            </w:r>
          </w:p>
        </w:tc>
        <w:tc>
          <w:tcPr>
            <w:tcW w:w="1146" w:type="dxa"/>
            <w:tcBorders>
              <w:top w:val="nil"/>
              <w:left w:val="nil"/>
              <w:bottom w:val="single" w:color="auto" w:sz="4" w:space="0"/>
              <w:right w:val="single" w:color="auto" w:sz="4" w:space="0"/>
            </w:tcBorders>
            <w:shd w:val="clear" w:color="auto" w:fill="auto"/>
            <w:noWrap/>
            <w:vAlign w:val="bottom"/>
          </w:tcPr>
          <w:p w14:paraId="75749526">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45 562</w:t>
            </w:r>
          </w:p>
        </w:tc>
        <w:tc>
          <w:tcPr>
            <w:tcW w:w="1134" w:type="dxa"/>
            <w:tcBorders>
              <w:top w:val="nil"/>
              <w:left w:val="nil"/>
              <w:bottom w:val="single" w:color="auto" w:sz="4" w:space="0"/>
              <w:right w:val="single" w:color="auto" w:sz="4" w:space="0"/>
            </w:tcBorders>
            <w:shd w:val="clear" w:color="auto" w:fill="auto"/>
            <w:noWrap/>
            <w:vAlign w:val="bottom"/>
          </w:tcPr>
          <w:p w14:paraId="6B0FDD7C">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189 200</w:t>
            </w:r>
          </w:p>
        </w:tc>
        <w:tc>
          <w:tcPr>
            <w:tcW w:w="1134" w:type="dxa"/>
            <w:tcBorders>
              <w:top w:val="nil"/>
              <w:left w:val="nil"/>
              <w:bottom w:val="single" w:color="auto" w:sz="4" w:space="0"/>
              <w:right w:val="single" w:color="auto" w:sz="4" w:space="0"/>
            </w:tcBorders>
            <w:shd w:val="clear" w:color="auto" w:fill="auto"/>
            <w:noWrap/>
            <w:vAlign w:val="bottom"/>
          </w:tcPr>
          <w:p w14:paraId="6C763265">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473 339</w:t>
            </w:r>
          </w:p>
        </w:tc>
        <w:tc>
          <w:tcPr>
            <w:tcW w:w="1276" w:type="dxa"/>
            <w:tcBorders>
              <w:top w:val="nil"/>
              <w:left w:val="nil"/>
              <w:bottom w:val="single" w:color="auto" w:sz="4" w:space="0"/>
              <w:right w:val="single" w:color="auto" w:sz="4" w:space="0"/>
            </w:tcBorders>
            <w:shd w:val="clear" w:color="auto" w:fill="auto"/>
            <w:noWrap/>
            <w:vAlign w:val="bottom"/>
          </w:tcPr>
          <w:p w14:paraId="12515DC6">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7 288 909</w:t>
            </w:r>
          </w:p>
        </w:tc>
        <w:tc>
          <w:tcPr>
            <w:tcW w:w="1418" w:type="dxa"/>
            <w:tcBorders>
              <w:top w:val="nil"/>
              <w:left w:val="nil"/>
              <w:bottom w:val="single" w:color="auto" w:sz="4" w:space="0"/>
              <w:right w:val="single" w:color="auto" w:sz="4" w:space="0"/>
            </w:tcBorders>
            <w:shd w:val="clear" w:color="auto" w:fill="auto"/>
            <w:noWrap/>
            <w:vAlign w:val="bottom"/>
          </w:tcPr>
          <w:p w14:paraId="6E60B65C">
            <w:pPr>
              <w:spacing w:after="0" w:line="240" w:lineRule="auto"/>
              <w:jc w:val="right"/>
              <w:rPr>
                <w:rFonts w:ascii="Times New Roman" w:hAnsi="Times New Roman" w:eastAsia="Times New Roman"/>
                <w:b/>
                <w:bCs/>
                <w:color w:val="000000"/>
                <w:lang w:eastAsia="ru-RU"/>
              </w:rPr>
            </w:pPr>
            <w:r>
              <w:rPr>
                <w:rFonts w:ascii="Times New Roman" w:hAnsi="Times New Roman" w:eastAsia="Times New Roman"/>
                <w:b/>
                <w:bCs/>
                <w:color w:val="000000"/>
                <w:lang w:eastAsia="ru-RU"/>
              </w:rPr>
              <w:t>8 043 395</w:t>
            </w:r>
          </w:p>
        </w:tc>
      </w:tr>
      <w:tr w14:paraId="57315C56">
        <w:tblPrEx>
          <w:tblCellMar>
            <w:top w:w="0" w:type="dxa"/>
            <w:left w:w="108" w:type="dxa"/>
            <w:bottom w:w="0" w:type="dxa"/>
            <w:right w:w="108" w:type="dxa"/>
          </w:tblCellMar>
        </w:tblPrEx>
        <w:trPr>
          <w:wBefore w:w="0" w:type="dxa"/>
          <w:wAfter w:w="0" w:type="dxa"/>
          <w:trHeight w:val="315" w:hRule="atLeast"/>
        </w:trPr>
        <w:tc>
          <w:tcPr>
            <w:tcW w:w="2977" w:type="dxa"/>
            <w:tcBorders>
              <w:top w:val="nil"/>
              <w:left w:val="single" w:color="auto" w:sz="4" w:space="0"/>
              <w:bottom w:val="single" w:color="auto" w:sz="4" w:space="0"/>
              <w:right w:val="single" w:color="auto" w:sz="4" w:space="0"/>
            </w:tcBorders>
            <w:shd w:val="clear" w:color="auto" w:fill="auto"/>
            <w:noWrap w:val="0"/>
            <w:vAlign w:val="bottom"/>
          </w:tcPr>
          <w:p w14:paraId="397ED268">
            <w:pPr>
              <w:spacing w:after="0" w:line="240" w:lineRule="auto"/>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ОЧИСТКА</w:t>
            </w:r>
          </w:p>
        </w:tc>
        <w:tc>
          <w:tcPr>
            <w:tcW w:w="1122" w:type="dxa"/>
            <w:tcBorders>
              <w:top w:val="nil"/>
              <w:left w:val="nil"/>
              <w:bottom w:val="single" w:color="auto" w:sz="4" w:space="0"/>
              <w:right w:val="single" w:color="auto" w:sz="4" w:space="0"/>
            </w:tcBorders>
            <w:shd w:val="clear" w:color="auto" w:fill="auto"/>
            <w:noWrap/>
            <w:vAlign w:val="bottom"/>
          </w:tcPr>
          <w:p w14:paraId="6A30ECBD">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95 871</w:t>
            </w:r>
          </w:p>
        </w:tc>
        <w:tc>
          <w:tcPr>
            <w:tcW w:w="1146" w:type="dxa"/>
            <w:tcBorders>
              <w:top w:val="nil"/>
              <w:left w:val="nil"/>
              <w:bottom w:val="single" w:color="auto" w:sz="4" w:space="0"/>
              <w:right w:val="single" w:color="auto" w:sz="4" w:space="0"/>
            </w:tcBorders>
            <w:shd w:val="clear" w:color="auto" w:fill="auto"/>
            <w:noWrap/>
            <w:vAlign w:val="bottom"/>
          </w:tcPr>
          <w:p w14:paraId="69B30FB0">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113 754</w:t>
            </w:r>
          </w:p>
        </w:tc>
        <w:tc>
          <w:tcPr>
            <w:tcW w:w="1134" w:type="dxa"/>
            <w:tcBorders>
              <w:top w:val="nil"/>
              <w:left w:val="nil"/>
              <w:bottom w:val="single" w:color="auto" w:sz="4" w:space="0"/>
              <w:right w:val="single" w:color="auto" w:sz="4" w:space="0"/>
            </w:tcBorders>
            <w:shd w:val="clear" w:color="auto" w:fill="auto"/>
            <w:noWrap/>
            <w:vAlign w:val="bottom"/>
          </w:tcPr>
          <w:p w14:paraId="104D8FB3">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117 429</w:t>
            </w:r>
          </w:p>
        </w:tc>
        <w:tc>
          <w:tcPr>
            <w:tcW w:w="1134" w:type="dxa"/>
            <w:tcBorders>
              <w:top w:val="nil"/>
              <w:left w:val="nil"/>
              <w:bottom w:val="single" w:color="auto" w:sz="4" w:space="0"/>
              <w:right w:val="single" w:color="auto" w:sz="4" w:space="0"/>
            </w:tcBorders>
            <w:shd w:val="clear" w:color="auto" w:fill="auto"/>
            <w:noWrap/>
            <w:vAlign w:val="bottom"/>
          </w:tcPr>
          <w:p w14:paraId="18208212">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345 911</w:t>
            </w:r>
          </w:p>
        </w:tc>
        <w:tc>
          <w:tcPr>
            <w:tcW w:w="1276" w:type="dxa"/>
            <w:tcBorders>
              <w:top w:val="nil"/>
              <w:left w:val="nil"/>
              <w:bottom w:val="single" w:color="auto" w:sz="4" w:space="0"/>
              <w:right w:val="single" w:color="auto" w:sz="4" w:space="0"/>
            </w:tcBorders>
            <w:shd w:val="clear" w:color="auto" w:fill="auto"/>
            <w:noWrap/>
            <w:vAlign w:val="bottom"/>
          </w:tcPr>
          <w:p w14:paraId="67C6DFF6">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4 382 378</w:t>
            </w:r>
          </w:p>
        </w:tc>
        <w:tc>
          <w:tcPr>
            <w:tcW w:w="1418" w:type="dxa"/>
            <w:tcBorders>
              <w:top w:val="nil"/>
              <w:left w:val="nil"/>
              <w:bottom w:val="single" w:color="auto" w:sz="4" w:space="0"/>
              <w:right w:val="single" w:color="auto" w:sz="4" w:space="0"/>
            </w:tcBorders>
            <w:shd w:val="clear" w:color="auto" w:fill="auto"/>
            <w:noWrap/>
            <w:vAlign w:val="bottom"/>
          </w:tcPr>
          <w:p w14:paraId="38855B24">
            <w:pPr>
              <w:spacing w:after="0" w:line="240" w:lineRule="auto"/>
              <w:jc w:val="right"/>
              <w:rPr>
                <w:rFonts w:ascii="Times New Roman" w:hAnsi="Times New Roman" w:eastAsia="Times New Roman"/>
                <w:b/>
                <w:bCs/>
                <w:color w:val="000000"/>
                <w:lang w:eastAsia="ru-RU"/>
              </w:rPr>
            </w:pPr>
            <w:r>
              <w:rPr>
                <w:rFonts w:ascii="Times New Roman" w:hAnsi="Times New Roman" w:eastAsia="Times New Roman"/>
                <w:b/>
                <w:bCs/>
                <w:color w:val="000000"/>
                <w:lang w:eastAsia="ru-RU"/>
              </w:rPr>
              <w:t>5 055 343</w:t>
            </w:r>
          </w:p>
        </w:tc>
      </w:tr>
      <w:tr w14:paraId="2BF32D9C">
        <w:tblPrEx>
          <w:tblCellMar>
            <w:top w:w="0" w:type="dxa"/>
            <w:left w:w="108" w:type="dxa"/>
            <w:bottom w:w="0" w:type="dxa"/>
            <w:right w:w="108" w:type="dxa"/>
          </w:tblCellMar>
        </w:tblPrEx>
        <w:trPr>
          <w:wBefore w:w="0" w:type="dxa"/>
          <w:wAfter w:w="0" w:type="dxa"/>
          <w:trHeight w:val="315" w:hRule="atLeast"/>
        </w:trPr>
        <w:tc>
          <w:tcPr>
            <w:tcW w:w="2977" w:type="dxa"/>
            <w:tcBorders>
              <w:top w:val="nil"/>
              <w:left w:val="single" w:color="auto" w:sz="4" w:space="0"/>
              <w:bottom w:val="single" w:color="auto" w:sz="4" w:space="0"/>
              <w:right w:val="single" w:color="auto" w:sz="4" w:space="0"/>
            </w:tcBorders>
            <w:shd w:val="clear" w:color="auto" w:fill="auto"/>
            <w:noWrap w:val="0"/>
            <w:vAlign w:val="bottom"/>
          </w:tcPr>
          <w:p w14:paraId="3A5791C7">
            <w:pPr>
              <w:spacing w:after="0" w:line="240" w:lineRule="auto"/>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ИТОГО ВОДООТВЕДЕНИЕ</w:t>
            </w:r>
          </w:p>
        </w:tc>
        <w:tc>
          <w:tcPr>
            <w:tcW w:w="1122" w:type="dxa"/>
            <w:tcBorders>
              <w:top w:val="nil"/>
              <w:left w:val="nil"/>
              <w:bottom w:val="single" w:color="auto" w:sz="4" w:space="0"/>
              <w:right w:val="single" w:color="auto" w:sz="4" w:space="0"/>
            </w:tcBorders>
            <w:shd w:val="clear" w:color="auto" w:fill="auto"/>
            <w:noWrap/>
            <w:vAlign w:val="bottom"/>
          </w:tcPr>
          <w:p w14:paraId="12ABB98E">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142 256</w:t>
            </w:r>
          </w:p>
        </w:tc>
        <w:tc>
          <w:tcPr>
            <w:tcW w:w="1146" w:type="dxa"/>
            <w:tcBorders>
              <w:top w:val="nil"/>
              <w:left w:val="nil"/>
              <w:bottom w:val="single" w:color="auto" w:sz="4" w:space="0"/>
              <w:right w:val="single" w:color="auto" w:sz="4" w:space="0"/>
            </w:tcBorders>
            <w:shd w:val="clear" w:color="auto" w:fill="auto"/>
            <w:noWrap/>
            <w:vAlign w:val="bottom"/>
          </w:tcPr>
          <w:p w14:paraId="3783CE87">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159 316</w:t>
            </w:r>
          </w:p>
        </w:tc>
        <w:tc>
          <w:tcPr>
            <w:tcW w:w="1134" w:type="dxa"/>
            <w:tcBorders>
              <w:top w:val="nil"/>
              <w:left w:val="nil"/>
              <w:bottom w:val="single" w:color="auto" w:sz="4" w:space="0"/>
              <w:right w:val="single" w:color="auto" w:sz="4" w:space="0"/>
            </w:tcBorders>
            <w:shd w:val="clear" w:color="auto" w:fill="auto"/>
            <w:noWrap/>
            <w:vAlign w:val="bottom"/>
          </w:tcPr>
          <w:p w14:paraId="34E02D08">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306 629</w:t>
            </w:r>
          </w:p>
        </w:tc>
        <w:tc>
          <w:tcPr>
            <w:tcW w:w="1134" w:type="dxa"/>
            <w:tcBorders>
              <w:top w:val="nil"/>
              <w:left w:val="nil"/>
              <w:bottom w:val="single" w:color="auto" w:sz="4" w:space="0"/>
              <w:right w:val="single" w:color="auto" w:sz="4" w:space="0"/>
            </w:tcBorders>
            <w:shd w:val="clear" w:color="auto" w:fill="auto"/>
            <w:noWrap/>
            <w:vAlign w:val="bottom"/>
          </w:tcPr>
          <w:p w14:paraId="15BAAABE">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819 250</w:t>
            </w:r>
          </w:p>
        </w:tc>
        <w:tc>
          <w:tcPr>
            <w:tcW w:w="1276" w:type="dxa"/>
            <w:tcBorders>
              <w:top w:val="nil"/>
              <w:left w:val="nil"/>
              <w:bottom w:val="single" w:color="auto" w:sz="4" w:space="0"/>
              <w:right w:val="single" w:color="auto" w:sz="4" w:space="0"/>
            </w:tcBorders>
            <w:shd w:val="clear" w:color="auto" w:fill="auto"/>
            <w:noWrap/>
            <w:vAlign w:val="bottom"/>
          </w:tcPr>
          <w:p w14:paraId="7C8988A9">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11 671 287</w:t>
            </w:r>
          </w:p>
        </w:tc>
        <w:tc>
          <w:tcPr>
            <w:tcW w:w="1418" w:type="dxa"/>
            <w:tcBorders>
              <w:top w:val="nil"/>
              <w:left w:val="nil"/>
              <w:bottom w:val="single" w:color="auto" w:sz="4" w:space="0"/>
              <w:right w:val="single" w:color="auto" w:sz="4" w:space="0"/>
            </w:tcBorders>
            <w:shd w:val="clear" w:color="auto" w:fill="auto"/>
            <w:noWrap/>
            <w:vAlign w:val="bottom"/>
          </w:tcPr>
          <w:p w14:paraId="771CA669">
            <w:pPr>
              <w:spacing w:after="0" w:line="240" w:lineRule="auto"/>
              <w:jc w:val="right"/>
              <w:rPr>
                <w:rFonts w:ascii="Times New Roman" w:hAnsi="Times New Roman" w:eastAsia="Times New Roman"/>
                <w:b/>
                <w:bCs/>
                <w:color w:val="000000"/>
                <w:lang w:eastAsia="ru-RU"/>
              </w:rPr>
            </w:pPr>
            <w:r>
              <w:rPr>
                <w:rFonts w:ascii="Times New Roman" w:hAnsi="Times New Roman" w:eastAsia="Times New Roman"/>
                <w:b/>
                <w:bCs/>
                <w:color w:val="000000"/>
                <w:lang w:eastAsia="ru-RU"/>
              </w:rPr>
              <w:t>13 098 738</w:t>
            </w:r>
          </w:p>
        </w:tc>
      </w:tr>
      <w:tr w14:paraId="6FDB6F78">
        <w:tblPrEx>
          <w:tblCellMar>
            <w:top w:w="0" w:type="dxa"/>
            <w:left w:w="108" w:type="dxa"/>
            <w:bottom w:w="0" w:type="dxa"/>
            <w:right w:w="108" w:type="dxa"/>
          </w:tblCellMar>
        </w:tblPrEx>
        <w:trPr>
          <w:wBefore w:w="0" w:type="dxa"/>
          <w:wAfter w:w="0" w:type="dxa"/>
          <w:trHeight w:val="630" w:hRule="atLeast"/>
        </w:trPr>
        <w:tc>
          <w:tcPr>
            <w:tcW w:w="2977" w:type="dxa"/>
            <w:tcBorders>
              <w:top w:val="nil"/>
              <w:left w:val="single" w:color="auto" w:sz="4" w:space="0"/>
              <w:bottom w:val="single" w:color="auto" w:sz="4" w:space="0"/>
              <w:right w:val="single" w:color="auto" w:sz="4" w:space="0"/>
            </w:tcBorders>
            <w:shd w:val="clear" w:color="auto" w:fill="auto"/>
            <w:noWrap w:val="0"/>
            <w:vAlign w:val="bottom"/>
          </w:tcPr>
          <w:p w14:paraId="48B53B17">
            <w:pPr>
              <w:spacing w:after="0" w:line="240" w:lineRule="auto"/>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ИТОГО ВОДОСНАБЖЕНИЕ и ВОДООТВЕДЕНИЕ</w:t>
            </w:r>
          </w:p>
        </w:tc>
        <w:tc>
          <w:tcPr>
            <w:tcW w:w="1122" w:type="dxa"/>
            <w:tcBorders>
              <w:top w:val="nil"/>
              <w:left w:val="nil"/>
              <w:bottom w:val="single" w:color="auto" w:sz="4" w:space="0"/>
              <w:right w:val="single" w:color="auto" w:sz="4" w:space="0"/>
            </w:tcBorders>
            <w:shd w:val="clear" w:color="auto" w:fill="auto"/>
            <w:noWrap/>
            <w:vAlign w:val="bottom"/>
          </w:tcPr>
          <w:p w14:paraId="7D2F6456">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247 355</w:t>
            </w:r>
          </w:p>
        </w:tc>
        <w:tc>
          <w:tcPr>
            <w:tcW w:w="1146" w:type="dxa"/>
            <w:tcBorders>
              <w:top w:val="nil"/>
              <w:left w:val="nil"/>
              <w:bottom w:val="single" w:color="auto" w:sz="4" w:space="0"/>
              <w:right w:val="single" w:color="auto" w:sz="4" w:space="0"/>
            </w:tcBorders>
            <w:shd w:val="clear" w:color="auto" w:fill="auto"/>
            <w:noWrap/>
            <w:vAlign w:val="bottom"/>
          </w:tcPr>
          <w:p w14:paraId="4CD2E576">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331 443</w:t>
            </w:r>
          </w:p>
        </w:tc>
        <w:tc>
          <w:tcPr>
            <w:tcW w:w="1134" w:type="dxa"/>
            <w:tcBorders>
              <w:top w:val="nil"/>
              <w:left w:val="nil"/>
              <w:bottom w:val="single" w:color="auto" w:sz="4" w:space="0"/>
              <w:right w:val="single" w:color="auto" w:sz="4" w:space="0"/>
            </w:tcBorders>
            <w:shd w:val="clear" w:color="auto" w:fill="auto"/>
            <w:noWrap/>
            <w:vAlign w:val="bottom"/>
          </w:tcPr>
          <w:p w14:paraId="4DFD915C">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705 331</w:t>
            </w:r>
          </w:p>
        </w:tc>
        <w:tc>
          <w:tcPr>
            <w:tcW w:w="1134" w:type="dxa"/>
            <w:tcBorders>
              <w:top w:val="nil"/>
              <w:left w:val="nil"/>
              <w:bottom w:val="single" w:color="auto" w:sz="4" w:space="0"/>
              <w:right w:val="single" w:color="auto" w:sz="4" w:space="0"/>
            </w:tcBorders>
            <w:shd w:val="clear" w:color="auto" w:fill="auto"/>
            <w:noWrap/>
            <w:vAlign w:val="bottom"/>
          </w:tcPr>
          <w:p w14:paraId="476C9E98">
            <w:pPr>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1 460 093</w:t>
            </w:r>
          </w:p>
        </w:tc>
        <w:tc>
          <w:tcPr>
            <w:tcW w:w="1276" w:type="dxa"/>
            <w:tcBorders>
              <w:top w:val="nil"/>
              <w:left w:val="nil"/>
              <w:bottom w:val="single" w:color="auto" w:sz="4" w:space="0"/>
              <w:right w:val="single" w:color="auto" w:sz="4" w:space="0"/>
            </w:tcBorders>
            <w:shd w:val="clear" w:color="auto" w:fill="auto"/>
            <w:noWrap/>
            <w:vAlign w:val="bottom"/>
          </w:tcPr>
          <w:p w14:paraId="64FACDF8">
            <w:pPr>
              <w:spacing w:after="0" w:line="240" w:lineRule="auto"/>
              <w:jc w:val="right"/>
              <w:rPr>
                <w:rFonts w:ascii="Times New Roman" w:hAnsi="Times New Roman" w:eastAsia="Times New Roman"/>
                <w:color w:val="000000"/>
                <w:lang w:eastAsia="ru-RU"/>
              </w:rPr>
            </w:pPr>
            <w:r>
              <w:rPr>
                <w:rFonts w:ascii="Times New Roman" w:hAnsi="Times New Roman" w:eastAsia="Times New Roman"/>
                <w:color w:val="000000"/>
                <w:lang w:eastAsia="ru-RU"/>
              </w:rPr>
              <w:t>13 790 410</w:t>
            </w:r>
          </w:p>
        </w:tc>
        <w:tc>
          <w:tcPr>
            <w:tcW w:w="1418" w:type="dxa"/>
            <w:tcBorders>
              <w:top w:val="nil"/>
              <w:left w:val="nil"/>
              <w:bottom w:val="single" w:color="auto" w:sz="4" w:space="0"/>
              <w:right w:val="single" w:color="auto" w:sz="4" w:space="0"/>
            </w:tcBorders>
            <w:shd w:val="clear" w:color="auto" w:fill="auto"/>
            <w:noWrap/>
            <w:vAlign w:val="bottom"/>
          </w:tcPr>
          <w:p w14:paraId="3CBC8864">
            <w:pPr>
              <w:spacing w:after="0" w:line="240" w:lineRule="auto"/>
              <w:jc w:val="right"/>
              <w:rPr>
                <w:rFonts w:ascii="Times New Roman" w:hAnsi="Times New Roman" w:eastAsia="Times New Roman"/>
                <w:b/>
                <w:bCs/>
                <w:color w:val="000000"/>
                <w:lang w:eastAsia="ru-RU"/>
              </w:rPr>
            </w:pPr>
            <w:r>
              <w:rPr>
                <w:rFonts w:ascii="Times New Roman" w:hAnsi="Times New Roman" w:eastAsia="Times New Roman"/>
                <w:b/>
                <w:bCs/>
                <w:color w:val="000000"/>
                <w:lang w:eastAsia="ru-RU"/>
              </w:rPr>
              <w:t>16 534 631</w:t>
            </w:r>
          </w:p>
        </w:tc>
      </w:tr>
    </w:tbl>
    <w:p w14:paraId="1BDC7CEE">
      <w:pPr>
        <w:spacing w:line="240" w:lineRule="auto"/>
        <w:jc w:val="right"/>
        <w:rPr>
          <w:rFonts w:ascii="Times New Roman" w:hAnsi="Times New Roman"/>
          <w:color w:val="000000"/>
          <w:sz w:val="28"/>
          <w:szCs w:val="28"/>
        </w:rPr>
      </w:pPr>
      <w:r>
        <w:rPr>
          <w:rFonts w:ascii="Times New Roman" w:hAnsi="Times New Roman"/>
          <w:color w:val="000000"/>
          <w:sz w:val="28"/>
          <w:szCs w:val="28"/>
        </w:rPr>
        <w:fldChar w:fldCharType="end"/>
      </w:r>
    </w:p>
    <w:p w14:paraId="49761AC2">
      <w:pPr>
        <w:spacing w:line="240" w:lineRule="auto"/>
        <w:jc w:val="right"/>
        <w:rPr>
          <w:rFonts w:ascii="Times New Roman" w:hAnsi="Times New Roman"/>
          <w:color w:val="000000"/>
          <w:sz w:val="28"/>
          <w:szCs w:val="28"/>
        </w:rPr>
      </w:pPr>
    </w:p>
    <w:p w14:paraId="00CD9E0C">
      <w:pPr>
        <w:spacing w:line="240" w:lineRule="auto"/>
        <w:jc w:val="right"/>
        <w:rPr>
          <w:rFonts w:ascii="Times New Roman" w:hAnsi="Times New Roman"/>
          <w:color w:val="000000"/>
          <w:sz w:val="28"/>
          <w:szCs w:val="28"/>
        </w:rPr>
      </w:pPr>
    </w:p>
    <w:p w14:paraId="1C4A77A7">
      <w:pPr>
        <w:spacing w:line="240" w:lineRule="auto"/>
        <w:jc w:val="right"/>
        <w:rPr>
          <w:rFonts w:ascii="Times New Roman" w:hAnsi="Times New Roman"/>
          <w:color w:val="000000"/>
          <w:sz w:val="28"/>
          <w:szCs w:val="28"/>
        </w:rPr>
      </w:pPr>
    </w:p>
    <w:p w14:paraId="6666F4B6">
      <w:pPr>
        <w:spacing w:line="240" w:lineRule="auto"/>
        <w:jc w:val="right"/>
        <w:rPr>
          <w:rFonts w:ascii="Times New Roman" w:hAnsi="Times New Roman"/>
          <w:color w:val="000000"/>
          <w:sz w:val="28"/>
          <w:szCs w:val="28"/>
        </w:rPr>
      </w:pPr>
      <w:r>
        <w:rPr>
          <w:rFonts w:ascii="Times New Roman" w:hAnsi="Times New Roman"/>
          <w:color w:val="000000"/>
          <w:sz w:val="28"/>
          <w:szCs w:val="28"/>
        </w:rPr>
        <w:t>Таблица 43</w:t>
      </w:r>
    </w:p>
    <w:p w14:paraId="7C0BBEAE">
      <w:pPr>
        <w:spacing w:line="240" w:lineRule="auto"/>
        <w:jc w:val="both"/>
        <w:rPr>
          <w:rFonts w:ascii="Times New Roman" w:hAnsi="Times New Roman"/>
          <w:color w:val="000000"/>
          <w:sz w:val="28"/>
          <w:szCs w:val="28"/>
        </w:rPr>
      </w:pPr>
      <w:r>
        <w:rPr>
          <w:rFonts w:ascii="Times New Roman" w:hAnsi="Times New Roman"/>
          <w:color w:val="000000"/>
          <w:sz w:val="28"/>
          <w:szCs w:val="28"/>
        </w:rPr>
        <w:drawing>
          <wp:inline distT="0" distB="0" distL="114300" distR="114300">
            <wp:extent cx="4923790" cy="2771140"/>
            <wp:effectExtent l="0" t="0" r="10160" b="1016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Rot="1" noChangeAspect="1"/>
                    </pic:cNvPicPr>
                  </pic:nvPicPr>
                  <pic:blipFill>
                    <a:blip r:embed="rId9"/>
                    <a:stretch>
                      <a:fillRect/>
                    </a:stretch>
                  </pic:blipFill>
                  <pic:spPr>
                    <a:xfrm>
                      <a:off x="0" y="0"/>
                      <a:ext cx="4923790" cy="2771140"/>
                    </a:xfrm>
                    <a:prstGeom prst="rect">
                      <a:avLst/>
                    </a:prstGeom>
                    <a:noFill/>
                    <a:ln>
                      <a:noFill/>
                    </a:ln>
                  </pic:spPr>
                </pic:pic>
              </a:graphicData>
            </a:graphic>
          </wp:inline>
        </w:drawing>
      </w:r>
    </w:p>
    <w:p w14:paraId="505AC7F4">
      <w:pPr>
        <w:spacing w:line="240" w:lineRule="auto"/>
        <w:ind w:firstLine="709"/>
        <w:jc w:val="both"/>
        <w:rPr>
          <w:rFonts w:ascii="Times New Roman" w:hAnsi="Times New Roman"/>
          <w:color w:val="000000"/>
          <w:sz w:val="28"/>
          <w:szCs w:val="28"/>
        </w:rPr>
      </w:pPr>
    </w:p>
    <w:p w14:paraId="4348B339">
      <w:pPr>
        <w:spacing w:before="360" w:after="12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Pr>
          <w:rFonts w:ascii="Times New Roman" w:hAnsi="Times New Roman"/>
          <w:color w:val="000000"/>
          <w:sz w:val="28"/>
          <w:szCs w:val="28"/>
        </w:rPr>
        <w:t xml:space="preserve">Раздел 2. Источники финансирования </w:t>
      </w:r>
    </w:p>
    <w:p w14:paraId="3735318B">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Деятельность в сфере предоставления услуг водоснабжения и водоотведения согласно положениям Федерального закона от 07.12.2011 №416-ФЗ «О водоснабжении и водоотведении» является регулируемой. Цены (тарифы) на эти услуги устанавливаются органами государственной власти в сфере тарифного регулирования.  Инвестиционная деятельность также влияет на тарифные последствия для потребителей услуг и подлежит государственному регулированию.</w:t>
      </w:r>
    </w:p>
    <w:p w14:paraId="3A698044">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Источниками финансирования инвестиционной программы согласно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 641 являются:</w:t>
      </w:r>
    </w:p>
    <w:p w14:paraId="5C4CE6FA">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собственные средства регулируемой организации, включая амортизацию, расходы на капитальные вложения, возмещаемые за счет прибыли регулируемой организации;</w:t>
      </w:r>
    </w:p>
    <w:p w14:paraId="0CF244BA">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займы и кредиты;</w:t>
      </w:r>
    </w:p>
    <w:p w14:paraId="22815794">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бюджетные средства;</w:t>
      </w:r>
    </w:p>
    <w:p w14:paraId="341BB816">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прочие источники.</w:t>
      </w:r>
    </w:p>
    <w:p w14:paraId="11E840ED">
      <w:pPr>
        <w:spacing w:line="240" w:lineRule="auto"/>
        <w:ind w:firstLine="709"/>
        <w:jc w:val="both"/>
        <w:rPr>
          <w:rFonts w:ascii="Times New Roman" w:hAnsi="Times New Roman"/>
          <w:b/>
          <w:color w:val="000000"/>
          <w:sz w:val="28"/>
          <w:szCs w:val="28"/>
        </w:rPr>
      </w:pPr>
      <w:r>
        <w:rPr>
          <w:rFonts w:ascii="Times New Roman" w:hAnsi="Times New Roman"/>
          <w:color w:val="000000"/>
          <w:sz w:val="28"/>
          <w:szCs w:val="28"/>
        </w:rPr>
        <w:t>В настоящее время у действующего оператора водоснабжения и водоотведения ООО "Ульяновскоблводоканал" (г. Димитровград) в рамках дополнительного соглашения к Концессионному соглашению № 39-Д от 08.12.2017г., утверждена в установленном порядке инвестиционная программа от 18.10.2022.  Соответственно, в структуре необходимой валовой выручки органом регулирования тарифов (Агентство по регулированию цен и тарифов Ульяновской области) учтена прибыль на капитальные вложения. Дополнительным источником финансирования инвестиционных мероприятий является амортизация ОС. Потребность в инвестициях по реализации мероприятий настоящей Схемы водоснабжения и водоотведения в первой половине срока действия Концессионного соглашения существенно превышает инвестиционные возможности предприятия. Учитывая данные обстоятельства, источниками покрытия инвестиционных потребностей в зависимости от сценариев могут выступать:</w:t>
      </w:r>
    </w:p>
    <w:p w14:paraId="3698CA4B">
      <w:pPr>
        <w:numPr>
          <w:ilvl w:val="0"/>
          <w:numId w:val="1"/>
        </w:numPr>
        <w:autoSpaceDE w:val="0"/>
        <w:autoSpaceDN w:val="0"/>
        <w:adjustRightInd w:val="0"/>
        <w:spacing w:after="0" w:line="24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частично за счет инвестиционной составляющей, учтенной в тарифах на услуги водоснабжения и водоотведения с единоразовым ростом тарифов более 20%, а также за счёт иных источников. В этом случае прогнозный рост тарифов существенно превысит индекс изменения размера вносимой гражданами платы за коммунальные услуги. Вероятность реализации такого сценария крайне низка по причине высокой финансовой нагрузки на население г. Димитровград, </w:t>
      </w:r>
    </w:p>
    <w:p w14:paraId="1CBF0289">
      <w:pPr>
        <w:autoSpaceDE w:val="0"/>
        <w:autoSpaceDN w:val="0"/>
        <w:adjustRightInd w:val="0"/>
        <w:spacing w:after="0" w:line="240" w:lineRule="auto"/>
        <w:jc w:val="both"/>
        <w:rPr>
          <w:rFonts w:ascii="Times New Roman" w:hAnsi="Times New Roman"/>
          <w:color w:val="000000"/>
          <w:sz w:val="28"/>
          <w:szCs w:val="28"/>
          <w:lang w:eastAsia="ru-RU"/>
        </w:rPr>
      </w:pPr>
    </w:p>
    <w:p w14:paraId="3433C4D7">
      <w:pPr>
        <w:numPr>
          <w:ilvl w:val="0"/>
          <w:numId w:val="1"/>
        </w:numPr>
        <w:autoSpaceDE w:val="0"/>
        <w:autoSpaceDN w:val="0"/>
        <w:adjustRightInd w:val="0"/>
        <w:spacing w:after="0" w:line="24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100% за счет бюджетных средств, что также представляется маловероятным в связи с отсутствием в бюджетах области и города запланированных средств на реализацию мероприятий, предусмотренных схемой,  </w:t>
      </w:r>
    </w:p>
    <w:p w14:paraId="15F53295">
      <w:pPr>
        <w:autoSpaceDE w:val="0"/>
        <w:autoSpaceDN w:val="0"/>
        <w:adjustRightInd w:val="0"/>
        <w:spacing w:after="0" w:line="240" w:lineRule="auto"/>
        <w:jc w:val="both"/>
        <w:rPr>
          <w:rFonts w:ascii="Times New Roman" w:hAnsi="Times New Roman"/>
          <w:color w:val="000000"/>
          <w:sz w:val="28"/>
          <w:szCs w:val="28"/>
          <w:lang w:eastAsia="ru-RU"/>
        </w:rPr>
      </w:pPr>
    </w:p>
    <w:p w14:paraId="205F0841">
      <w:pPr>
        <w:numPr>
          <w:ilvl w:val="0"/>
          <w:numId w:val="1"/>
        </w:numPr>
        <w:autoSpaceDE w:val="0"/>
        <w:autoSpaceDN w:val="0"/>
        <w:adjustRightInd w:val="0"/>
        <w:spacing w:after="120" w:line="24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частичное финансирование мероприятий за счет тарифных источников (прибыль на капитальные вложения, заемные средства и амортизация), предусматривающих плавное повышение размера тарифов выше уровня индекса платы граждан за коммунальные услуги в течении 3 лет, а также за счёт иных источников. Данный вариант представляется наиболее оптимальным, так как позволяет распределить более равномерно финансовую нагрузку по реализации инвестиционных мероприятий между потребителями услуг и бюджетными уровнями с минимальными рисками для всех заинтересованных лиц.   </w:t>
      </w:r>
    </w:p>
    <w:p w14:paraId="1E55C3B7">
      <w:pPr>
        <w:pStyle w:val="12"/>
        <w:spacing w:line="240" w:lineRule="auto"/>
        <w:ind w:left="0"/>
        <w:jc w:val="both"/>
        <w:rPr>
          <w:rFonts w:ascii="Times New Roman" w:hAnsi="Times New Roman"/>
          <w:color w:val="000000"/>
          <w:sz w:val="28"/>
          <w:szCs w:val="28"/>
        </w:rPr>
      </w:pPr>
    </w:p>
    <w:p w14:paraId="535056EB">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Выводы:     </w:t>
      </w:r>
    </w:p>
    <w:p w14:paraId="0FC629F6">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Согласно разработанной Схеме водоснабжения и водоотведения г. Димитровград до 2028 года сумма инвестиционных мероприятий, необходимых для осуществления деятельности в сфере предоставления услуг водоснабжения и водоотведения с требуемым уровнем качества и надежности составит 16 534 млн. руб. (с учетом НДС) в прогнозных ценах. </w:t>
      </w:r>
    </w:p>
    <w:p w14:paraId="09A28EE1">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условиях проводимой государственной политики по ограничению уровня роста тарифов на услуги естественных монополий наиболее целесообразной видится реализация финансирования инвестиционных мероприятий частично </w:t>
      </w:r>
      <w:r>
        <w:rPr>
          <w:rFonts w:ascii="Times New Roman" w:hAnsi="Times New Roman"/>
          <w:color w:val="000000"/>
          <w:sz w:val="28"/>
          <w:szCs w:val="28"/>
          <w:lang w:eastAsia="ru-RU"/>
        </w:rPr>
        <w:t xml:space="preserve">за счёт </w:t>
      </w:r>
      <w:r>
        <w:rPr>
          <w:rFonts w:ascii="Times New Roman" w:hAnsi="Times New Roman"/>
          <w:color w:val="000000"/>
          <w:sz w:val="28"/>
          <w:szCs w:val="28"/>
        </w:rPr>
        <w:t xml:space="preserve">тарифных источников, предусматривающих плавное повышение размера тарифов выше уровня индекса платы граждан за коммунальные услуги, </w:t>
      </w:r>
      <w:r>
        <w:rPr>
          <w:rFonts w:ascii="Times New Roman" w:hAnsi="Times New Roman"/>
          <w:color w:val="000000"/>
          <w:sz w:val="28"/>
          <w:szCs w:val="28"/>
          <w:lang w:eastAsia="ru-RU"/>
        </w:rPr>
        <w:t>а также за счёт федеральных программ.</w:t>
      </w:r>
      <w:r>
        <w:rPr>
          <w:rFonts w:ascii="Times New Roman" w:hAnsi="Times New Roman"/>
          <w:color w:val="000000"/>
          <w:sz w:val="28"/>
          <w:szCs w:val="28"/>
        </w:rPr>
        <w:t xml:space="preserve"> </w:t>
      </w:r>
    </w:p>
    <w:sectPr>
      <w:pgSz w:w="11906" w:h="16838"/>
      <w:pgMar w:top="1134" w:right="850" w:bottom="1135"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55180">
    <w:pPr>
      <w:pStyle w:val="9"/>
      <w:jc w:val="center"/>
    </w:pPr>
    <w:r>
      <w:fldChar w:fldCharType="begin"/>
    </w:r>
    <w:r>
      <w:instrText xml:space="preserve"> PAGE   \* MERGEFORMAT </w:instrText>
    </w:r>
    <w:r>
      <w:fldChar w:fldCharType="separate"/>
    </w:r>
    <w:r>
      <w:rPr>
        <w:lang/>
      </w:rPr>
      <w:t>130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4356A"/>
    <w:multiLevelType w:val="multilevel"/>
    <w:tmpl w:val="04F4356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5C"/>
    <w:rsid w:val="000119E4"/>
    <w:rsid w:val="0004537D"/>
    <w:rsid w:val="000470B2"/>
    <w:rsid w:val="00094815"/>
    <w:rsid w:val="00095F9D"/>
    <w:rsid w:val="00096527"/>
    <w:rsid w:val="000A425A"/>
    <w:rsid w:val="000B2E49"/>
    <w:rsid w:val="000B79BE"/>
    <w:rsid w:val="001165DC"/>
    <w:rsid w:val="00126472"/>
    <w:rsid w:val="001302E9"/>
    <w:rsid w:val="00136555"/>
    <w:rsid w:val="00143517"/>
    <w:rsid w:val="00164B82"/>
    <w:rsid w:val="00174D02"/>
    <w:rsid w:val="001C0B6D"/>
    <w:rsid w:val="00217DF6"/>
    <w:rsid w:val="00217F56"/>
    <w:rsid w:val="00233C3C"/>
    <w:rsid w:val="00244A0C"/>
    <w:rsid w:val="00263629"/>
    <w:rsid w:val="002A1BD4"/>
    <w:rsid w:val="002B30E1"/>
    <w:rsid w:val="00304B4F"/>
    <w:rsid w:val="003B5069"/>
    <w:rsid w:val="003C024F"/>
    <w:rsid w:val="00445144"/>
    <w:rsid w:val="004511C4"/>
    <w:rsid w:val="0046200A"/>
    <w:rsid w:val="0047725D"/>
    <w:rsid w:val="00494EA9"/>
    <w:rsid w:val="004C4635"/>
    <w:rsid w:val="004C77C2"/>
    <w:rsid w:val="004D1D9A"/>
    <w:rsid w:val="0053138F"/>
    <w:rsid w:val="005471CD"/>
    <w:rsid w:val="00554C19"/>
    <w:rsid w:val="005662F7"/>
    <w:rsid w:val="00574717"/>
    <w:rsid w:val="00584F4C"/>
    <w:rsid w:val="005B1BDC"/>
    <w:rsid w:val="005F2041"/>
    <w:rsid w:val="006218C9"/>
    <w:rsid w:val="00622354"/>
    <w:rsid w:val="0062296B"/>
    <w:rsid w:val="00623F56"/>
    <w:rsid w:val="00630E8A"/>
    <w:rsid w:val="00667D8A"/>
    <w:rsid w:val="00670761"/>
    <w:rsid w:val="00674004"/>
    <w:rsid w:val="00685F5C"/>
    <w:rsid w:val="0069562D"/>
    <w:rsid w:val="006978D5"/>
    <w:rsid w:val="006B169F"/>
    <w:rsid w:val="00703167"/>
    <w:rsid w:val="00714A0A"/>
    <w:rsid w:val="00715409"/>
    <w:rsid w:val="007321D9"/>
    <w:rsid w:val="00775ED9"/>
    <w:rsid w:val="007813B4"/>
    <w:rsid w:val="0078225A"/>
    <w:rsid w:val="007956B8"/>
    <w:rsid w:val="007C0085"/>
    <w:rsid w:val="007D0D80"/>
    <w:rsid w:val="007D1E0F"/>
    <w:rsid w:val="007D4F70"/>
    <w:rsid w:val="007F36B6"/>
    <w:rsid w:val="00800A42"/>
    <w:rsid w:val="008011CF"/>
    <w:rsid w:val="00855EC4"/>
    <w:rsid w:val="008732F4"/>
    <w:rsid w:val="00892DD2"/>
    <w:rsid w:val="008A1BE2"/>
    <w:rsid w:val="008A1F96"/>
    <w:rsid w:val="008A7ABD"/>
    <w:rsid w:val="008B0947"/>
    <w:rsid w:val="008B570C"/>
    <w:rsid w:val="008B6884"/>
    <w:rsid w:val="008C121A"/>
    <w:rsid w:val="008C7875"/>
    <w:rsid w:val="00903F2B"/>
    <w:rsid w:val="00907931"/>
    <w:rsid w:val="00917B5B"/>
    <w:rsid w:val="00917D97"/>
    <w:rsid w:val="00924DCC"/>
    <w:rsid w:val="009551DB"/>
    <w:rsid w:val="00955DB6"/>
    <w:rsid w:val="009D6E40"/>
    <w:rsid w:val="00A211A8"/>
    <w:rsid w:val="00A32283"/>
    <w:rsid w:val="00A35B4D"/>
    <w:rsid w:val="00A74CBE"/>
    <w:rsid w:val="00A921EB"/>
    <w:rsid w:val="00AA054C"/>
    <w:rsid w:val="00AA35A8"/>
    <w:rsid w:val="00AB0DD8"/>
    <w:rsid w:val="00AE3631"/>
    <w:rsid w:val="00B07E47"/>
    <w:rsid w:val="00B90793"/>
    <w:rsid w:val="00B91668"/>
    <w:rsid w:val="00BA003E"/>
    <w:rsid w:val="00BB22E5"/>
    <w:rsid w:val="00BB586D"/>
    <w:rsid w:val="00BC2A02"/>
    <w:rsid w:val="00BD025E"/>
    <w:rsid w:val="00BF4AD9"/>
    <w:rsid w:val="00BF63FE"/>
    <w:rsid w:val="00C17DCB"/>
    <w:rsid w:val="00C765F2"/>
    <w:rsid w:val="00CA6D63"/>
    <w:rsid w:val="00CB2BA8"/>
    <w:rsid w:val="00CC3DBB"/>
    <w:rsid w:val="00CE03D1"/>
    <w:rsid w:val="00CE48B4"/>
    <w:rsid w:val="00CE7C3D"/>
    <w:rsid w:val="00D022BB"/>
    <w:rsid w:val="00D054ED"/>
    <w:rsid w:val="00D06F1D"/>
    <w:rsid w:val="00D16F25"/>
    <w:rsid w:val="00D17127"/>
    <w:rsid w:val="00D32810"/>
    <w:rsid w:val="00D33821"/>
    <w:rsid w:val="00D36B1A"/>
    <w:rsid w:val="00D70F52"/>
    <w:rsid w:val="00D73FDA"/>
    <w:rsid w:val="00D765D7"/>
    <w:rsid w:val="00D816E1"/>
    <w:rsid w:val="00D834D9"/>
    <w:rsid w:val="00D8548F"/>
    <w:rsid w:val="00D86B12"/>
    <w:rsid w:val="00DA4E17"/>
    <w:rsid w:val="00DC5175"/>
    <w:rsid w:val="00DD2479"/>
    <w:rsid w:val="00DF48D0"/>
    <w:rsid w:val="00E07E45"/>
    <w:rsid w:val="00E17E33"/>
    <w:rsid w:val="00E814F9"/>
    <w:rsid w:val="00E874DA"/>
    <w:rsid w:val="00E937FE"/>
    <w:rsid w:val="00EA2508"/>
    <w:rsid w:val="00ED616A"/>
    <w:rsid w:val="00EE083F"/>
    <w:rsid w:val="00EE6BEC"/>
    <w:rsid w:val="00EF62B6"/>
    <w:rsid w:val="00F23585"/>
    <w:rsid w:val="00F25A64"/>
    <w:rsid w:val="00F36DEE"/>
    <w:rsid w:val="00F46CE0"/>
    <w:rsid w:val="00F5039B"/>
    <w:rsid w:val="00F5052A"/>
    <w:rsid w:val="00F534B7"/>
    <w:rsid w:val="00F72AE8"/>
    <w:rsid w:val="00F9608A"/>
    <w:rsid w:val="00FA5E4C"/>
    <w:rsid w:val="00FB7F97"/>
    <w:rsid w:val="00FC15F7"/>
    <w:rsid w:val="00FD1EF4"/>
    <w:rsid w:val="00FE03F2"/>
    <w:rsid w:val="097128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 w:type="character" w:styleId="4">
    <w:name w:val="annotation reference"/>
    <w:semiHidden/>
    <w:unhideWhenUsed/>
    <w:uiPriority w:val="99"/>
    <w:rPr>
      <w:sz w:val="16"/>
      <w:szCs w:val="16"/>
    </w:rPr>
  </w:style>
  <w:style w:type="character" w:styleId="5">
    <w:name w:val="Hyperlink"/>
    <w:unhideWhenUsed/>
    <w:uiPriority w:val="99"/>
    <w:rPr>
      <w:color w:val="0563C1"/>
      <w:u w:val="single"/>
    </w:rPr>
  </w:style>
  <w:style w:type="paragraph" w:styleId="6">
    <w:name w:val="Balloon Text"/>
    <w:basedOn w:val="1"/>
    <w:link w:val="15"/>
    <w:semiHidden/>
    <w:unhideWhenUsed/>
    <w:uiPriority w:val="99"/>
    <w:pPr>
      <w:spacing w:after="0" w:line="240" w:lineRule="auto"/>
    </w:pPr>
    <w:rPr>
      <w:rFonts w:ascii="Segoe UI" w:hAnsi="Segoe UI"/>
      <w:sz w:val="18"/>
      <w:szCs w:val="18"/>
    </w:rPr>
  </w:style>
  <w:style w:type="paragraph" w:styleId="7">
    <w:name w:val="annotation text"/>
    <w:basedOn w:val="1"/>
    <w:link w:val="16"/>
    <w:semiHidden/>
    <w:unhideWhenUsed/>
    <w:uiPriority w:val="99"/>
    <w:pPr>
      <w:spacing w:line="240" w:lineRule="auto"/>
    </w:pPr>
    <w:rPr>
      <w:sz w:val="20"/>
      <w:szCs w:val="20"/>
    </w:rPr>
  </w:style>
  <w:style w:type="paragraph" w:styleId="8">
    <w:name w:val="annotation subject"/>
    <w:basedOn w:val="7"/>
    <w:next w:val="7"/>
    <w:link w:val="17"/>
    <w:semiHidden/>
    <w:unhideWhenUsed/>
    <w:uiPriority w:val="99"/>
    <w:rPr>
      <w:b/>
      <w:bCs/>
    </w:rPr>
  </w:style>
  <w:style w:type="paragraph" w:styleId="9">
    <w:name w:val="header"/>
    <w:basedOn w:val="1"/>
    <w:link w:val="13"/>
    <w:unhideWhenUsed/>
    <w:uiPriority w:val="99"/>
    <w:pPr>
      <w:tabs>
        <w:tab w:val="center" w:pos="4677"/>
        <w:tab w:val="right" w:pos="9355"/>
      </w:tabs>
      <w:spacing w:after="0" w:line="240" w:lineRule="auto"/>
    </w:pPr>
  </w:style>
  <w:style w:type="paragraph" w:styleId="10">
    <w:name w:val="footer"/>
    <w:basedOn w:val="1"/>
    <w:link w:val="14"/>
    <w:unhideWhenUsed/>
    <w:uiPriority w:val="99"/>
    <w:pPr>
      <w:tabs>
        <w:tab w:val="center" w:pos="4677"/>
        <w:tab w:val="right" w:pos="9355"/>
      </w:tabs>
      <w:spacing w:after="0" w:line="240" w:lineRule="auto"/>
    </w:pPr>
  </w:style>
  <w:style w:type="table" w:styleId="11">
    <w:name w:val="Table Grid"/>
    <w:basedOn w:val="3"/>
    <w:uiPriority w:val="39"/>
    <w:pPr>
      <w:spacing w:after="0" w:line="240" w:lineRule="auto"/>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Верхний колонтитул Знак"/>
    <w:basedOn w:val="2"/>
    <w:link w:val="9"/>
    <w:uiPriority w:val="99"/>
  </w:style>
  <w:style w:type="character" w:customStyle="1" w:styleId="14">
    <w:name w:val="Нижний колонтитул Знак"/>
    <w:basedOn w:val="2"/>
    <w:link w:val="10"/>
    <w:uiPriority w:val="99"/>
  </w:style>
  <w:style w:type="character" w:customStyle="1" w:styleId="15">
    <w:name w:val="Текст выноски Знак"/>
    <w:link w:val="6"/>
    <w:semiHidden/>
    <w:uiPriority w:val="99"/>
    <w:rPr>
      <w:rFonts w:ascii="Segoe UI" w:hAnsi="Segoe UI" w:cs="Segoe UI"/>
      <w:sz w:val="18"/>
      <w:szCs w:val="18"/>
    </w:rPr>
  </w:style>
  <w:style w:type="character" w:customStyle="1" w:styleId="16">
    <w:name w:val="Текст примечания Знак"/>
    <w:link w:val="7"/>
    <w:semiHidden/>
    <w:uiPriority w:val="99"/>
    <w:rPr>
      <w:sz w:val="20"/>
      <w:szCs w:val="20"/>
    </w:rPr>
  </w:style>
  <w:style w:type="character" w:customStyle="1" w:styleId="17">
    <w:name w:val="Тема примечания Знак"/>
    <w:link w:val="8"/>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Srv-share\&#1054;&#1073;&#1097;&#1072;&#1103;\&#1055;&#1058;&#1054;\&#1057;&#1093;&#1077;&#1084;&#1072;%20&#1042;&#1080;&#1042;%20&#1076;&#1083;&#1103;%20&#1082;&#1088;&#1077;&#1072;&#1083;\&#1057;&#1093;&#1077;&#1084;&#1072;%20&#1042;&#1080;&#1042;%202022\&#1044;&#1086;%2036&#1075;.%20&#1076;&#1083;&#1103;%20&#1085;&#1072;&#1087;&#1088;&#1072;&#1074;&#1083;&#1077;&#1085;&#1080;&#1103;%20&#1074;%20&#1040;&#1076;&#1084;&#1080;&#1085;&#1080;&#1089;&#1090;&#1088;&#1072;&#1094;&#1080;&#110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57360345581802"/>
                  <c:y val="0.0244400699912511"/>
                </c:manualLayout>
              </c:layout>
              <c:tx>
                <c:rich>
                  <a:bodyPr rot="0" spcFirstLastPara="1" vertOverflow="ellipsis" vert="horz" wrap="square" lIns="38100" tIns="19050" rIns="38100" bIns="19050" anchor="ctr" anchorCtr="1"/>
                  <a:lstStyle/>
                  <a:p>
                    <a:fld id="{be9db889-8efe-4648-af27-143c8c0572be}" type="VALUE">
                      <a:t>[VALUE]</a:t>
                    </a:fld>
                    <a:endParaRPr lang="ru-RU"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60830818022747"/>
                  <c:y val="-0.0364526829979586"/>
                </c:manualLayout>
              </c:layout>
              <c:tx>
                <c:rich>
                  <a:bodyPr rot="0" spcFirstLastPara="1" vertOverflow="ellipsis" vert="horz" wrap="square" lIns="38100" tIns="19050" rIns="38100" bIns="19050" anchor="ctr" anchorCtr="1"/>
                  <a:lstStyle/>
                  <a:p>
                    <a:fld id="{9b6e2a04-b565-4ba7-97a3-f1cd0ce67069}" type="VALUE">
                      <a:t>[VALUE]</a:t>
                    </a:fld>
                    <a:endParaRPr lang="ru-RU"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Лист3!$B$10:$B$11</c:f>
              <c:strCache>
                <c:ptCount val="2"/>
                <c:pt idx="0">
                  <c:v>Сети ВиВ</c:v>
                </c:pt>
                <c:pt idx="1">
                  <c:v>Иные объекты</c:v>
                </c:pt>
              </c:strCache>
            </c:strRef>
          </c:cat>
          <c:val>
            <c:numRef>
              <c:f>Лист3!$C$10:$C$11</c:f>
              <c:numCache>
                <c:formatCode>0%</c:formatCode>
                <c:ptCount val="2"/>
                <c:pt idx="0">
                  <c:v>0.446027102893321</c:v>
                </c:pt>
                <c:pt idx="1">
                  <c:v>0.553972897106679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ОАО "РКС"</Company>
  <Pages>5</Pages>
  <Words>1025</Words>
  <Characters>5848</Characters>
  <Lines>48</Lines>
  <Paragraphs>13</Paragraphs>
  <TotalTime>0</TotalTime>
  <ScaleCrop>false</ScaleCrop>
  <LinksUpToDate>false</LinksUpToDate>
  <CharactersWithSpaces>6860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2021-05-25T11:16:00Z</dcterms:created>
  <dc:creator>Парфенов Вячеслав Александрович</dc:creator>
  <cp:lastModifiedBy>grigorev_lv</cp:lastModifiedBy>
  <cp:lastPrinted>2021-05-26T09:02:00Z</cp:lastPrinted>
  <dcterms:modified xsi:type="dcterms:W3CDTF">2024-11-19T12:44:41Z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8DDC83F009D44E8C8BC3E39BE28CA26A_13</vt:lpwstr>
  </property>
</Properties>
</file>